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98D2A" w14:textId="77777777" w:rsidR="000D4790" w:rsidRPr="005F6BCF" w:rsidRDefault="000D4790" w:rsidP="000D4790">
      <w:pPr>
        <w:rPr>
          <w:lang w:val="en-US"/>
        </w:rPr>
      </w:pPr>
      <w:r w:rsidRPr="005F6BCF">
        <w:rPr>
          <w:lang w:val="en-US"/>
        </w:rPr>
        <w:t xml:space="preserve">PAPER 3: REFERENCES </w:t>
      </w:r>
    </w:p>
    <w:p w14:paraId="3D19271A" w14:textId="77777777" w:rsidR="000D4790" w:rsidRDefault="000D4790" w:rsidP="000D4790">
      <w:pPr>
        <w:rPr>
          <w:lang w:val="en-US"/>
        </w:rPr>
      </w:pPr>
      <w:r w:rsidRPr="005F6BCF">
        <w:rPr>
          <w:lang w:val="en-US"/>
        </w:rPr>
        <w:t xml:space="preserve">Amini M, </w:t>
      </w:r>
      <w:proofErr w:type="spellStart"/>
      <w:r w:rsidRPr="005F6BCF">
        <w:rPr>
          <w:lang w:val="en-US"/>
        </w:rPr>
        <w:t>Zayeri</w:t>
      </w:r>
      <w:proofErr w:type="spellEnd"/>
      <w:r w:rsidRPr="005F6BCF">
        <w:rPr>
          <w:lang w:val="en-US"/>
        </w:rPr>
        <w:t xml:space="preserve"> F, Salehi M. Trend analysis of cardiovascular disease mortality, incidence, and mortality-to-incidence ratio: results from global burden of disease study 2017. BMC Public Health. 2021 Feb 25;21(1):401. </w:t>
      </w:r>
      <w:proofErr w:type="spellStart"/>
      <w:r w:rsidRPr="005F6BCF">
        <w:rPr>
          <w:lang w:val="en-US"/>
        </w:rPr>
        <w:t>doi</w:t>
      </w:r>
      <w:proofErr w:type="spellEnd"/>
      <w:r w:rsidRPr="005F6BCF">
        <w:rPr>
          <w:lang w:val="en-US"/>
        </w:rPr>
        <w:t>: 10.1186/s12889-021-10429-0. PMID: 33632204; PMCID: PMC7905904.</w:t>
      </w:r>
    </w:p>
    <w:p w14:paraId="08FDD5AF" w14:textId="77777777" w:rsidR="000D4790" w:rsidRDefault="000D4790" w:rsidP="000D4790">
      <w:pPr>
        <w:rPr>
          <w:lang w:val="en-US"/>
        </w:rPr>
      </w:pPr>
    </w:p>
    <w:p w14:paraId="0CFB47C2" w14:textId="77777777" w:rsidR="000D4790" w:rsidRPr="005F6BCF" w:rsidRDefault="000D4790" w:rsidP="000D4790">
      <w:pPr>
        <w:rPr>
          <w:lang w:val="en-US"/>
        </w:rPr>
      </w:pPr>
    </w:p>
    <w:p w14:paraId="5CE361BA" w14:textId="77777777" w:rsidR="002037C5" w:rsidRDefault="002037C5"/>
    <w:sectPr w:rsidR="002037C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0DD"/>
    <w:rsid w:val="000916EC"/>
    <w:rsid w:val="000D4790"/>
    <w:rsid w:val="002037C5"/>
    <w:rsid w:val="00223FB9"/>
    <w:rsid w:val="00260FC3"/>
    <w:rsid w:val="002830DD"/>
    <w:rsid w:val="00EC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4C937D-2009-41A8-A36D-9CE0010EF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790"/>
  </w:style>
  <w:style w:type="paragraph" w:styleId="Overskrift1">
    <w:name w:val="heading 1"/>
    <w:basedOn w:val="Normal"/>
    <w:next w:val="Normal"/>
    <w:link w:val="Overskrift1Tegn"/>
    <w:uiPriority w:val="9"/>
    <w:qFormat/>
    <w:rsid w:val="00283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83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830D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83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830D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83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83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83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83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830D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830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830D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830DD"/>
    <w:rPr>
      <w:rFonts w:eastAsiaTheme="majorEastAsia" w:cstheme="majorBidi"/>
      <w:i/>
      <w:iCs/>
      <w:color w:val="2E74B5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830DD"/>
    <w:rPr>
      <w:rFonts w:eastAsiaTheme="majorEastAsia" w:cstheme="majorBidi"/>
      <w:color w:val="2E74B5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830D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830D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830D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830D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83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83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83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83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83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830D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830D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830DD"/>
    <w:rPr>
      <w:i/>
      <w:iCs/>
      <w:color w:val="2E74B5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830D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830DD"/>
    <w:rPr>
      <w:i/>
      <w:iCs/>
      <w:color w:val="2E74B5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830D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267</Characters>
  <Application>Microsoft Office Word</Application>
  <DocSecurity>0</DocSecurity>
  <Lines>2</Lines>
  <Paragraphs>1</Paragraphs>
  <ScaleCrop>false</ScaleCrop>
  <Company>Region Midtjylland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Munk Jensen</dc:creator>
  <cp:keywords/>
  <dc:description/>
  <cp:lastModifiedBy>Jonas Munk Jensen</cp:lastModifiedBy>
  <cp:revision>2</cp:revision>
  <dcterms:created xsi:type="dcterms:W3CDTF">2026-06-02T11:36:00Z</dcterms:created>
  <dcterms:modified xsi:type="dcterms:W3CDTF">2026-06-02T11:36:00Z</dcterms:modified>
</cp:coreProperties>
</file>