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92A13" w14:textId="1432EE46" w:rsidR="00EC4976" w:rsidRPr="00EC4976" w:rsidRDefault="00EC4976" w:rsidP="00EC4976">
      <w:pPr>
        <w:rPr>
          <w:b/>
          <w:bCs/>
          <w:lang w:val="en-US"/>
        </w:rPr>
      </w:pPr>
      <w:r>
        <w:rPr>
          <w:b/>
          <w:bCs/>
          <w:lang w:val="en-US"/>
        </w:rPr>
        <w:t xml:space="preserve">Title: </w:t>
      </w:r>
      <w:r w:rsidRPr="00EC4976">
        <w:rPr>
          <w:b/>
          <w:bCs/>
          <w:lang w:val="en-US"/>
        </w:rPr>
        <w:t xml:space="preserve">Access to </w:t>
      </w:r>
      <w:r>
        <w:rPr>
          <w:b/>
          <w:bCs/>
          <w:lang w:val="en-US"/>
        </w:rPr>
        <w:t xml:space="preserve">Municipality-Based </w:t>
      </w:r>
      <w:r w:rsidRPr="00EC4976">
        <w:rPr>
          <w:b/>
          <w:bCs/>
          <w:lang w:val="en-US"/>
        </w:rPr>
        <w:t>Exercise Therapy in Type 2 Diabetes</w:t>
      </w:r>
    </w:p>
    <w:p w14:paraId="42EFE5FB" w14:textId="6E90DFDE" w:rsidR="00EC4976" w:rsidRPr="00EC4976" w:rsidRDefault="00EC4976" w:rsidP="00EC4976">
      <w:pPr>
        <w:rPr>
          <w:b/>
          <w:bCs/>
          <w:lang w:val="en-US"/>
        </w:rPr>
      </w:pPr>
      <w:r>
        <w:rPr>
          <w:b/>
          <w:bCs/>
          <w:lang w:val="en-US"/>
        </w:rPr>
        <w:t xml:space="preserve"># </w:t>
      </w:r>
      <w:r w:rsidRPr="00EC4976">
        <w:rPr>
          <w:b/>
          <w:bCs/>
          <w:lang w:val="en-US"/>
        </w:rPr>
        <w:t>Introduction</w:t>
      </w:r>
    </w:p>
    <w:p w14:paraId="0856A82D" w14:textId="7CE44E22" w:rsidR="00EC4976" w:rsidRPr="00EC4976" w:rsidRDefault="00EC4976" w:rsidP="00EC4976">
      <w:pPr>
        <w:rPr>
          <w:b/>
          <w:bCs/>
          <w:lang w:val="en-US"/>
        </w:rPr>
      </w:pPr>
      <w:r>
        <w:rPr>
          <w:b/>
          <w:bCs/>
          <w:lang w:val="en-US"/>
        </w:rPr>
        <w:t xml:space="preserve">## </w:t>
      </w:r>
      <w:r w:rsidRPr="00EC4976">
        <w:rPr>
          <w:b/>
          <w:bCs/>
          <w:lang w:val="en-US"/>
        </w:rPr>
        <w:t>Living Longer with Diabetes – and the Need for Exercise</w:t>
      </w:r>
    </w:p>
    <w:p w14:paraId="4C357BE8" w14:textId="77777777" w:rsidR="00C109F0" w:rsidRPr="00C109F0" w:rsidRDefault="00C109F0" w:rsidP="00C109F0">
      <w:pPr>
        <w:rPr>
          <w:lang w:val="en-US"/>
        </w:rPr>
      </w:pPr>
      <w:r w:rsidRPr="00C109F0">
        <w:rPr>
          <w:lang w:val="en-US"/>
        </w:rPr>
        <w:t xml:space="preserve">Type 2 diabetes (T2D) is one of the most prevalent chronic diseases worldwide. While the incidence of T2D in Denmark has remained relatively stable in recent years, the prevalence continues to increase [@Diabetestal2024]. This development is likely driven by population ageing and declining mortality among individuals with T2D, reflecting substantial improvements in diabetes care and cardiovascular risk </w:t>
      </w:r>
      <w:proofErr w:type="gramStart"/>
      <w:r w:rsidRPr="00C109F0">
        <w:rPr>
          <w:lang w:val="en-US"/>
        </w:rPr>
        <w:t>management [@</w:t>
      </w:r>
      <w:proofErr w:type="gramEnd"/>
      <w:r w:rsidRPr="00C109F0">
        <w:rPr>
          <w:lang w:val="en-US"/>
        </w:rPr>
        <w:t>Amini2021; @Magliano2022; @Gregg18].</w:t>
      </w:r>
    </w:p>
    <w:p w14:paraId="32F1BB5E" w14:textId="570D898A" w:rsidR="00EC4976" w:rsidRPr="00C109F0" w:rsidRDefault="00C109F0" w:rsidP="00C109F0">
      <w:pPr>
        <w:rPr>
          <w:lang w:val="en-US"/>
        </w:rPr>
      </w:pPr>
      <w:r w:rsidRPr="00C109F0">
        <w:rPr>
          <w:lang w:val="en-US"/>
        </w:rPr>
        <w:t>Historically, T2D was associated with a markedly increased risk of cardiovascular disease and premature death. Today, however, this gap appears to be narrowing. Recent Danish evidence suggests that both cardiovascular disease incidence and mortality rates among individuals with T2D have declined substantially over time, although mortality remains higher than that observed in the general population [@Laurberg2024]. These trends highlight the considerable progress achieved through earlier diagnosis, improved clinical management, and advances in pharmacological treatment.</w:t>
      </w:r>
    </w:p>
    <w:p w14:paraId="7EADD432" w14:textId="77777777" w:rsidR="00EC4976" w:rsidRPr="00EC4976" w:rsidRDefault="00EC4976" w:rsidP="00EC4976">
      <w:pPr>
        <w:rPr>
          <w:lang w:val="en-US"/>
        </w:rPr>
      </w:pPr>
      <w:r w:rsidRPr="00EC4976">
        <w:rPr>
          <w:lang w:val="en-US"/>
        </w:rPr>
        <w:t xml:space="preserve">In many respects, the increasing prevalence of T2D can therefore be viewed as a success story. Yet this success also presents new challenges. As more people live longer with T2D, a growing number must manage the physical, psychological, and </w:t>
      </w:r>
      <w:proofErr w:type="spellStart"/>
      <w:r w:rsidRPr="00EC4976">
        <w:rPr>
          <w:lang w:val="en-US"/>
        </w:rPr>
        <w:t>behavioural</w:t>
      </w:r>
      <w:proofErr w:type="spellEnd"/>
      <w:r w:rsidRPr="00EC4976">
        <w:rPr>
          <w:lang w:val="en-US"/>
        </w:rPr>
        <w:t xml:space="preserve"> demands associated with the disease. Among the available non-pharmacological treatment options, exercise remains one of the most effective interventions for improving </w:t>
      </w:r>
      <w:proofErr w:type="spellStart"/>
      <w:r w:rsidRPr="00EC4976">
        <w:rPr>
          <w:lang w:val="en-US"/>
        </w:rPr>
        <w:t>glycaemic</w:t>
      </w:r>
      <w:proofErr w:type="spellEnd"/>
      <w:r w:rsidRPr="00EC4976">
        <w:rPr>
          <w:lang w:val="en-US"/>
        </w:rPr>
        <w:t xml:space="preserve"> control, physical function, cardiovascular health, and quality of life. Consequently, ensuring access to exercise-based support is becoming increasingly important as the population living with T2D continues to grow.</w:t>
      </w:r>
    </w:p>
    <w:p w14:paraId="6DB27434" w14:textId="0CA05AAF" w:rsidR="00EC4976" w:rsidRPr="00EC4976" w:rsidRDefault="00EC4976" w:rsidP="00EC4976">
      <w:pPr>
        <w:rPr>
          <w:b/>
          <w:bCs/>
          <w:lang w:val="en-US"/>
        </w:rPr>
      </w:pPr>
      <w:r>
        <w:rPr>
          <w:b/>
          <w:bCs/>
          <w:lang w:val="en-US"/>
        </w:rPr>
        <w:t xml:space="preserve">## </w:t>
      </w:r>
      <w:r w:rsidRPr="00EC4976">
        <w:rPr>
          <w:b/>
          <w:bCs/>
          <w:lang w:val="en-US"/>
        </w:rPr>
        <w:t>From Clinical Recommendation to Municipal Service</w:t>
      </w:r>
    </w:p>
    <w:p w14:paraId="7220DA69" w14:textId="77777777" w:rsidR="00EC4976" w:rsidRPr="00EC4976" w:rsidRDefault="00EC4976" w:rsidP="00EC4976">
      <w:pPr>
        <w:rPr>
          <w:lang w:val="en-US"/>
        </w:rPr>
      </w:pPr>
      <w:r w:rsidRPr="00EC4976">
        <w:rPr>
          <w:lang w:val="en-US"/>
        </w:rPr>
        <w:t xml:space="preserve">Exercise is a cornerstone of T2D management and is recommended throughout the disease trajectory. Despite its central role in clinical guidelines, participation in structured exercise </w:t>
      </w:r>
      <w:proofErr w:type="spellStart"/>
      <w:r w:rsidRPr="00EC4976">
        <w:rPr>
          <w:lang w:val="en-US"/>
        </w:rPr>
        <w:t>programmes</w:t>
      </w:r>
      <w:proofErr w:type="spellEnd"/>
      <w:r w:rsidRPr="00EC4976">
        <w:rPr>
          <w:lang w:val="en-US"/>
        </w:rPr>
        <w:t xml:space="preserve"> often requires support beyond what can realistically be provided during routine consultations in general practice.</w:t>
      </w:r>
    </w:p>
    <w:p w14:paraId="7167E128" w14:textId="77777777" w:rsidR="00EC4976" w:rsidRPr="00EC4976" w:rsidRDefault="00EC4976" w:rsidP="00EC4976">
      <w:pPr>
        <w:rPr>
          <w:lang w:val="en-US"/>
        </w:rPr>
      </w:pPr>
      <w:r w:rsidRPr="00EC4976">
        <w:rPr>
          <w:lang w:val="en-US"/>
        </w:rPr>
        <w:t xml:space="preserve">In Denmark, the management of T2D is primarily anchored in the primary healthcare sector. General practitioners are typically responsible for diagnosing the disease, monitoring </w:t>
      </w:r>
      <w:proofErr w:type="spellStart"/>
      <w:r w:rsidRPr="00EC4976">
        <w:rPr>
          <w:lang w:val="en-US"/>
        </w:rPr>
        <w:t>glycaemic</w:t>
      </w:r>
      <w:proofErr w:type="spellEnd"/>
      <w:r w:rsidRPr="00EC4976">
        <w:rPr>
          <w:lang w:val="en-US"/>
        </w:rPr>
        <w:t xml:space="preserve"> control, providing lifestyle counselling, and prescribing glucose-lowering medication when needed. In addition, general practitioners function as gatekeepers to a range of municipality-based prevention and rehabilitation services, including exercise-based interventions.</w:t>
      </w:r>
    </w:p>
    <w:p w14:paraId="3935B4D7" w14:textId="79934CE0" w:rsidR="00EC4976" w:rsidRPr="00EC4976" w:rsidRDefault="00EC4976" w:rsidP="00EC4976">
      <w:pPr>
        <w:rPr>
          <w:lang w:val="en-US"/>
        </w:rPr>
      </w:pPr>
      <w:r w:rsidRPr="00EC4976">
        <w:rPr>
          <w:lang w:val="en-US"/>
        </w:rPr>
        <w:t>Individuals with T2D may be referred to an assessment interview within their municipality, where healthcare professionals help identify relevant support services based on individual needs and preferences. For many patients, this assessment represents the primary pathway to supervised exercise. However, a survey conducted by the Danish Diabetes Association found that only approximately one in five respondents had been referred to such an assessment, while a similar proportion reported that they would have welcomed a referral but had not received one [@diabetesforeningen2023].</w:t>
      </w:r>
    </w:p>
    <w:p w14:paraId="5C6778F1" w14:textId="4A45704F" w:rsidR="00EC4976" w:rsidRPr="00EC4976" w:rsidRDefault="00EC4976" w:rsidP="00EC4976">
      <w:pPr>
        <w:rPr>
          <w:lang w:val="en-US"/>
        </w:rPr>
      </w:pPr>
      <w:commentRangeStart w:id="0"/>
      <w:r w:rsidRPr="00EC4976">
        <w:rPr>
          <w:lang w:val="en-US"/>
        </w:rPr>
        <w:t xml:space="preserve">The availability and </w:t>
      </w:r>
      <w:r w:rsidR="00695823" w:rsidRPr="00EC4976">
        <w:rPr>
          <w:lang w:val="en-US"/>
        </w:rPr>
        <w:t>organization</w:t>
      </w:r>
      <w:r w:rsidRPr="00EC4976">
        <w:rPr>
          <w:lang w:val="en-US"/>
        </w:rPr>
        <w:t xml:space="preserve"> of municipal diabetes services vary considerably across Denmark. To reduce unwarranted variation and establish a minimum level of service, the Danish Health Authority published national quality standards for patient-oriented prevention in 2024. At the same time, ongoing healthcare reforms have altered the governance of these services. From 2025, responsibility for patient-</w:t>
      </w:r>
      <w:r w:rsidRPr="00EC4976">
        <w:rPr>
          <w:lang w:val="en-US"/>
        </w:rPr>
        <w:lastRenderedPageBreak/>
        <w:t>oriented prevention was transferred from municipalities to the regions, and from 2027 the regions will assume responsibility for monitoring and ensuring service quality. Nevertheless, municipalities will remain the primary providers of these services.</w:t>
      </w:r>
      <w:commentRangeEnd w:id="0"/>
      <w:r w:rsidR="004C5557">
        <w:rPr>
          <w:rStyle w:val="Kommentarhenvisning"/>
        </w:rPr>
        <w:commentReference w:id="0"/>
      </w:r>
    </w:p>
    <w:p w14:paraId="0897916B" w14:textId="220AAA2B" w:rsidR="00EC4976" w:rsidRPr="00EC4976" w:rsidRDefault="00EC4976" w:rsidP="00EC4976">
      <w:pPr>
        <w:rPr>
          <w:b/>
          <w:bCs/>
          <w:lang w:val="en-US"/>
        </w:rPr>
      </w:pPr>
      <w:r>
        <w:rPr>
          <w:b/>
          <w:bCs/>
          <w:lang w:val="en-US"/>
        </w:rPr>
        <w:t xml:space="preserve">## </w:t>
      </w:r>
      <w:r w:rsidRPr="00EC4976">
        <w:rPr>
          <w:b/>
          <w:bCs/>
          <w:lang w:val="en-US"/>
        </w:rPr>
        <w:t>Exercise Therapy in Practice</w:t>
      </w:r>
    </w:p>
    <w:p w14:paraId="39B25D82" w14:textId="77777777" w:rsidR="00EC4976" w:rsidRPr="00EC4976" w:rsidRDefault="00EC4976" w:rsidP="00EC4976">
      <w:pPr>
        <w:rPr>
          <w:lang w:val="en-US"/>
        </w:rPr>
      </w:pPr>
      <w:r w:rsidRPr="00EC4976">
        <w:rPr>
          <w:lang w:val="en-US"/>
        </w:rPr>
        <w:t xml:space="preserve">Although exercise is widely </w:t>
      </w:r>
      <w:proofErr w:type="spellStart"/>
      <w:r w:rsidRPr="00EC4976">
        <w:rPr>
          <w:lang w:val="en-US"/>
        </w:rPr>
        <w:t>recognised</w:t>
      </w:r>
      <w:proofErr w:type="spellEnd"/>
      <w:r w:rsidRPr="00EC4976">
        <w:rPr>
          <w:lang w:val="en-US"/>
        </w:rPr>
        <w:t xml:space="preserve"> as a key component of diabetes care, less is known about the extent to which people with T2D </w:t>
      </w:r>
      <w:proofErr w:type="gramStart"/>
      <w:r w:rsidRPr="00EC4976">
        <w:rPr>
          <w:lang w:val="en-US"/>
        </w:rPr>
        <w:t>actually receive</w:t>
      </w:r>
      <w:proofErr w:type="gramEnd"/>
      <w:r w:rsidRPr="00EC4976">
        <w:rPr>
          <w:lang w:val="en-US"/>
        </w:rPr>
        <w:t xml:space="preserve"> exercise therapy in routine practice.</w:t>
      </w:r>
    </w:p>
    <w:p w14:paraId="0ABA2171" w14:textId="77777777" w:rsidR="00EC4976" w:rsidRPr="00EC4976" w:rsidRDefault="00EC4976" w:rsidP="00EC4976">
      <w:pPr>
        <w:rPr>
          <w:lang w:val="en-US"/>
        </w:rPr>
      </w:pPr>
      <w:r w:rsidRPr="00EC4976">
        <w:rPr>
          <w:lang w:val="en-US"/>
        </w:rPr>
        <w:t xml:space="preserve">An interview survey conducted among municipalities in the Central Denmark Region in 2022 [unpublished] indicated that fewer than half of municipal health </w:t>
      </w:r>
      <w:proofErr w:type="spellStart"/>
      <w:r w:rsidRPr="00EC4976">
        <w:rPr>
          <w:lang w:val="en-US"/>
        </w:rPr>
        <w:t>centres</w:t>
      </w:r>
      <w:proofErr w:type="spellEnd"/>
      <w:r w:rsidRPr="00EC4976">
        <w:rPr>
          <w:lang w:val="en-US"/>
        </w:rPr>
        <w:t xml:space="preserve"> offered supervised exercise training as part of their T2D services. Combined with estimates from the Danish Diabetes Association suggesting that only around one in five individuals with T2D are referred to an initial municipal assessment, these findings indicate that only a minority of people with T2D are likely to receive municipality-based exercise therapy.</w:t>
      </w:r>
    </w:p>
    <w:p w14:paraId="21A19E08" w14:textId="77777777" w:rsidR="00EC4976" w:rsidRPr="00EC4976" w:rsidRDefault="00EC4976" w:rsidP="00EC4976">
      <w:pPr>
        <w:rPr>
          <w:lang w:val="en-US"/>
        </w:rPr>
      </w:pPr>
      <w:r w:rsidRPr="00EC4976">
        <w:rPr>
          <w:lang w:val="en-US"/>
        </w:rPr>
        <w:t>The Danish Health Authority's quality standards require municipalities to offer a physical activity intervention, either physical activity counselling or supervised exercise training, to individuals with chronic diseases who are assessed by a health professional as likely to benefit from the intervention. Furthermore, supervised exercise training should be offered when deemed appropriate based on factors such as disease severity, comorbidity burden, and the individual's resources, needs, and preferences.</w:t>
      </w:r>
    </w:p>
    <w:p w14:paraId="5038524D" w14:textId="77777777" w:rsidR="00EC4976" w:rsidRPr="00EC4976" w:rsidRDefault="00EC4976" w:rsidP="00EC4976">
      <w:pPr>
        <w:rPr>
          <w:lang w:val="en-US"/>
        </w:rPr>
      </w:pPr>
      <w:r w:rsidRPr="00EC4976">
        <w:rPr>
          <w:lang w:val="en-US"/>
        </w:rPr>
        <w:t>While these standards establish a framework for service provision, they do not specify clear eligibility criteria, referral thresholds, or provide detailed guidance on how health professionals should assess who is most likely to benefit from supervised exercise training. Consequently, municipalities are granted substantial discretion in determining who is offered supervised exercise training and how such services are organized. This flexibility may support adaptation to local contexts and resources, but it may also contribute to variation in access to and delivery of exercise therapy across municipalities.</w:t>
      </w:r>
    </w:p>
    <w:p w14:paraId="1BBA330F" w14:textId="77777777" w:rsidR="00EC4976" w:rsidRPr="00EC4976" w:rsidRDefault="00EC4976" w:rsidP="00EC4976">
      <w:pPr>
        <w:rPr>
          <w:lang w:val="en-US"/>
        </w:rPr>
      </w:pPr>
      <w:r w:rsidRPr="00EC4976">
        <w:rPr>
          <w:lang w:val="en-US"/>
        </w:rPr>
        <w:t>Importantly, the number of individuals receiving exercise therapy depends not only on whether municipalities offer such services, but also on whether individuals are referred to and engage with the municipal system in the first place. Access to exercise therapy is therefore shaped by multiple steps in the care pathway, each of which may influence who ultimately receives support.</w:t>
      </w:r>
    </w:p>
    <w:p w14:paraId="51458D2E" w14:textId="07C03DCE" w:rsidR="00EC4976" w:rsidRPr="00EC4976" w:rsidRDefault="00EC4976" w:rsidP="00EC4976">
      <w:pPr>
        <w:rPr>
          <w:b/>
          <w:bCs/>
          <w:lang w:val="en-US"/>
        </w:rPr>
      </w:pPr>
      <w:r>
        <w:rPr>
          <w:b/>
          <w:bCs/>
          <w:lang w:val="en-US"/>
        </w:rPr>
        <w:t xml:space="preserve">## </w:t>
      </w:r>
      <w:r w:rsidRPr="00EC4976">
        <w:rPr>
          <w:b/>
          <w:bCs/>
          <w:lang w:val="en-US"/>
        </w:rPr>
        <w:t>Who Gets Access to Exercise Therapy?</w:t>
      </w:r>
    </w:p>
    <w:p w14:paraId="74460988" w14:textId="77777777" w:rsidR="00EC4976" w:rsidRPr="00EC4976" w:rsidRDefault="00EC4976" w:rsidP="00EC4976">
      <w:pPr>
        <w:rPr>
          <w:lang w:val="en-US"/>
        </w:rPr>
      </w:pPr>
      <w:r w:rsidRPr="00EC4976">
        <w:rPr>
          <w:lang w:val="en-US"/>
        </w:rPr>
        <w:t xml:space="preserve">Variation in service provision is particularly relevant because the utilization of health services rarely occurs uniformly across the population. A substantial body of research has demonstrated that engagement with preventive services and participation in health-promoting </w:t>
      </w:r>
      <w:proofErr w:type="spellStart"/>
      <w:r w:rsidRPr="00EC4976">
        <w:rPr>
          <w:lang w:val="en-US"/>
        </w:rPr>
        <w:t>behaviours</w:t>
      </w:r>
      <w:proofErr w:type="spellEnd"/>
      <w:r w:rsidRPr="00EC4976">
        <w:rPr>
          <w:lang w:val="en-US"/>
        </w:rPr>
        <w:t xml:space="preserve"> follow a social gradient. Individuals with fewer socioeconomic resources are generally less likely to seek healthcare, participate in structured exercise </w:t>
      </w:r>
      <w:proofErr w:type="spellStart"/>
      <w:r w:rsidRPr="00EC4976">
        <w:rPr>
          <w:lang w:val="en-US"/>
        </w:rPr>
        <w:t>programmes</w:t>
      </w:r>
      <w:proofErr w:type="spellEnd"/>
      <w:r w:rsidRPr="00EC4976">
        <w:rPr>
          <w:lang w:val="en-US"/>
        </w:rPr>
        <w:t>, and engage with self-management interventions.</w:t>
      </w:r>
    </w:p>
    <w:p w14:paraId="3DE88EDB" w14:textId="4E55BD90" w:rsidR="00EC4976" w:rsidRPr="00EC4976" w:rsidRDefault="00EC4976" w:rsidP="00EC4976">
      <w:pPr>
        <w:rPr>
          <w:lang w:val="en-US"/>
        </w:rPr>
      </w:pPr>
      <w:r w:rsidRPr="00EC4976">
        <w:rPr>
          <w:lang w:val="en-US"/>
        </w:rPr>
        <w:t>These patterns may be particularly important for exercise therapy, which often requires active participation, repeated attendance, and sustained engagement over time. Even when exercise services are available, differences in health literacy, employment conditions, social support, and competing life demands may influence who is able to access and benefit from them.</w:t>
      </w:r>
    </w:p>
    <w:p w14:paraId="1DBD497E" w14:textId="77777777" w:rsidR="00EC4976" w:rsidRPr="00EC4976" w:rsidRDefault="00EC4976" w:rsidP="00EC4976">
      <w:pPr>
        <w:rPr>
          <w:lang w:val="en-US"/>
        </w:rPr>
      </w:pPr>
      <w:r w:rsidRPr="00EC4976">
        <w:rPr>
          <w:lang w:val="en-US"/>
        </w:rPr>
        <w:t xml:space="preserve">As a result, exercise-based interventions intended to improve health may inadvertently benefit those who are already relatively advantaged. If access to municipality-based exercise therapy depends on referral patterns, local service availability, or the individual's ability to navigate the healthcare system, existing social inequalities may be reinforced rather than reduced. Understanding who receives exercise therapy, and who </w:t>
      </w:r>
      <w:r w:rsidRPr="00EC4976">
        <w:rPr>
          <w:lang w:val="en-US"/>
        </w:rPr>
        <w:lastRenderedPageBreak/>
        <w:t>does not, is therefore essential for evaluating whether municipal diabetes services reach the populations with the greatest need.</w:t>
      </w:r>
    </w:p>
    <w:p w14:paraId="7CB27DA6" w14:textId="042377F2" w:rsidR="00EC4976" w:rsidRPr="00632429" w:rsidRDefault="00632429" w:rsidP="00F372D4">
      <w:pPr>
        <w:rPr>
          <w:b/>
          <w:bCs/>
          <w:lang w:val="en-US"/>
        </w:rPr>
      </w:pPr>
      <w:r w:rsidRPr="00632429">
        <w:rPr>
          <w:b/>
          <w:bCs/>
          <w:lang w:val="en-US"/>
        </w:rPr>
        <w:t>## How this study adds to solving the problem</w:t>
      </w:r>
    </w:p>
    <w:p w14:paraId="668CB9E4" w14:textId="254B958C" w:rsidR="00AD46ED" w:rsidRDefault="00632429" w:rsidP="00F372D4">
      <w:pPr>
        <w:rPr>
          <w:lang w:val="en-US"/>
        </w:rPr>
      </w:pPr>
      <w:r>
        <w:rPr>
          <w:lang w:val="en-US"/>
        </w:rPr>
        <w:t>The Health in Central Denmark cohort HICD was established in 2022 and comprises ____ people with T2D and a</w:t>
      </w:r>
      <w:r w:rsidR="00F42BA2">
        <w:rPr>
          <w:lang w:val="en-US"/>
        </w:rPr>
        <w:t xml:space="preserve"> healthy</w:t>
      </w:r>
      <w:r>
        <w:rPr>
          <w:lang w:val="en-US"/>
        </w:rPr>
        <w:t xml:space="preserve"> </w:t>
      </w:r>
      <w:r w:rsidR="00F42BA2">
        <w:rPr>
          <w:lang w:val="en-US"/>
        </w:rPr>
        <w:t>control group</w:t>
      </w:r>
      <w:r>
        <w:rPr>
          <w:lang w:val="en-US"/>
        </w:rPr>
        <w:t xml:space="preserve"> matched on age _____. In 2024 </w:t>
      </w:r>
      <w:proofErr w:type="spellStart"/>
      <w:r>
        <w:rPr>
          <w:lang w:val="en-US"/>
        </w:rPr>
        <w:t>questionnaries</w:t>
      </w:r>
      <w:proofErr w:type="spellEnd"/>
      <w:r>
        <w:rPr>
          <w:lang w:val="en-US"/>
        </w:rPr>
        <w:t xml:space="preserve"> where send to n ____. In that questionnaire people were asked if they were interested in receiving a </w:t>
      </w:r>
      <w:proofErr w:type="spellStart"/>
      <w:r>
        <w:rPr>
          <w:lang w:val="en-US"/>
        </w:rPr>
        <w:t>su</w:t>
      </w:r>
      <w:r w:rsidR="00F42BA2">
        <w:rPr>
          <w:lang w:val="en-US"/>
        </w:rPr>
        <w:t>p</w:t>
      </w:r>
      <w:r>
        <w:rPr>
          <w:lang w:val="en-US"/>
        </w:rPr>
        <w:t>plementarry</w:t>
      </w:r>
      <w:proofErr w:type="spellEnd"/>
      <w:r>
        <w:rPr>
          <w:lang w:val="en-US"/>
        </w:rPr>
        <w:t xml:space="preserve"> questionnaire, with questions regarding participation in municipal health services. ____ people agreed and out of them ____ answered the questionnaire. Data from HICD is </w:t>
      </w:r>
      <w:proofErr w:type="spellStart"/>
      <w:r>
        <w:rPr>
          <w:lang w:val="en-US"/>
        </w:rPr>
        <w:t>continuelly</w:t>
      </w:r>
      <w:proofErr w:type="spellEnd"/>
      <w:r>
        <w:rPr>
          <w:lang w:val="en-US"/>
        </w:rPr>
        <w:t xml:space="preserve"> uploaded to Statistics Denmark where it can be joint with data from national registers. </w:t>
      </w:r>
      <w:r w:rsidR="007B318B">
        <w:rPr>
          <w:lang w:val="en-US"/>
        </w:rPr>
        <w:t xml:space="preserve">In addition to </w:t>
      </w:r>
      <w:proofErr w:type="gramStart"/>
      <w:r w:rsidR="007B318B">
        <w:rPr>
          <w:lang w:val="en-US"/>
        </w:rPr>
        <w:t>conduct</w:t>
      </w:r>
      <w:proofErr w:type="gramEnd"/>
      <w:r w:rsidR="007B318B">
        <w:rPr>
          <w:lang w:val="en-US"/>
        </w:rPr>
        <w:t xml:space="preserve"> a mapping, on how many people </w:t>
      </w:r>
      <w:proofErr w:type="spellStart"/>
      <w:r w:rsidR="007B318B">
        <w:rPr>
          <w:lang w:val="en-US"/>
        </w:rPr>
        <w:t>repport</w:t>
      </w:r>
      <w:proofErr w:type="spellEnd"/>
      <w:r w:rsidR="007B318B">
        <w:rPr>
          <w:lang w:val="en-US"/>
        </w:rPr>
        <w:t xml:space="preserve"> to have received or been referred to a municipal health service, t</w:t>
      </w:r>
      <w:r>
        <w:rPr>
          <w:lang w:val="en-US"/>
        </w:rPr>
        <w:t xml:space="preserve">his allows us to investigate what </w:t>
      </w:r>
      <w:proofErr w:type="spellStart"/>
      <w:r>
        <w:rPr>
          <w:lang w:val="en-US"/>
        </w:rPr>
        <w:t>carachterizes</w:t>
      </w:r>
      <w:proofErr w:type="spellEnd"/>
      <w:r>
        <w:rPr>
          <w:lang w:val="en-US"/>
        </w:rPr>
        <w:t xml:space="preserve"> participants from non-participant. Further, </w:t>
      </w:r>
      <w:proofErr w:type="gramStart"/>
      <w:r w:rsidR="00AD46ED">
        <w:rPr>
          <w:lang w:val="en-US"/>
        </w:rPr>
        <w:t>is</w:t>
      </w:r>
      <w:proofErr w:type="gramEnd"/>
      <w:r w:rsidR="00AD46ED">
        <w:rPr>
          <w:lang w:val="en-US"/>
        </w:rPr>
        <w:t xml:space="preserve"> allows us to conduct an attrition analysis to make sure that the people who answered the supplementary questionnaire resemble the rest of the cohort, hence investigating selection bias. </w:t>
      </w:r>
      <w:r w:rsidR="007B318B">
        <w:rPr>
          <w:lang w:val="en-US"/>
        </w:rPr>
        <w:t xml:space="preserve">This study will give us insights into how many people get referred to an interview in the municipality (which is the entry to an exercise </w:t>
      </w:r>
      <w:proofErr w:type="spellStart"/>
      <w:r w:rsidR="007B318B">
        <w:rPr>
          <w:lang w:val="en-US"/>
        </w:rPr>
        <w:t>programme</w:t>
      </w:r>
      <w:proofErr w:type="spellEnd"/>
      <w:r w:rsidR="007B318B">
        <w:rPr>
          <w:lang w:val="en-US"/>
        </w:rPr>
        <w:t xml:space="preserve">), how many attend a </w:t>
      </w:r>
      <w:proofErr w:type="spellStart"/>
      <w:r w:rsidR="007B318B">
        <w:rPr>
          <w:lang w:val="en-US"/>
        </w:rPr>
        <w:t>programme</w:t>
      </w:r>
      <w:proofErr w:type="spellEnd"/>
      <w:r w:rsidR="007B318B">
        <w:rPr>
          <w:lang w:val="en-US"/>
        </w:rPr>
        <w:t xml:space="preserve">, how many </w:t>
      </w:r>
      <w:proofErr w:type="gramStart"/>
      <w:r w:rsidR="007B318B">
        <w:rPr>
          <w:lang w:val="en-US"/>
        </w:rPr>
        <w:t>has</w:t>
      </w:r>
      <w:proofErr w:type="gramEnd"/>
      <w:r w:rsidR="007B318B">
        <w:rPr>
          <w:lang w:val="en-US"/>
        </w:rPr>
        <w:t xml:space="preserve"> not been referred but would have liked the offer, how many find it irrelevant. As well as insights into who </w:t>
      </w:r>
      <w:proofErr w:type="gramStart"/>
      <w:r w:rsidR="007B318B">
        <w:rPr>
          <w:lang w:val="en-US"/>
        </w:rPr>
        <w:t>actually participate</w:t>
      </w:r>
      <w:proofErr w:type="gramEnd"/>
      <w:r w:rsidR="007B318B">
        <w:rPr>
          <w:lang w:val="en-US"/>
        </w:rPr>
        <w:t xml:space="preserve"> in the municipality-based exercise </w:t>
      </w:r>
      <w:proofErr w:type="spellStart"/>
      <w:r w:rsidR="007B318B">
        <w:rPr>
          <w:lang w:val="en-US"/>
        </w:rPr>
        <w:t>programmes</w:t>
      </w:r>
      <w:proofErr w:type="spellEnd"/>
      <w:r w:rsidR="007B318B">
        <w:rPr>
          <w:lang w:val="en-US"/>
        </w:rPr>
        <w:t xml:space="preserve">. And finally, the results will be bolstered by an analysis to establish if the results are generalizable to the larger population. </w:t>
      </w:r>
    </w:p>
    <w:p w14:paraId="4EE20145" w14:textId="77777777" w:rsidR="00582606" w:rsidRDefault="00582606" w:rsidP="00F372D4">
      <w:pPr>
        <w:rPr>
          <w:lang w:val="en-US"/>
        </w:rPr>
      </w:pPr>
    </w:p>
    <w:p w14:paraId="6D19CCE2" w14:textId="77777777" w:rsidR="00582606" w:rsidRDefault="00582606" w:rsidP="00F372D4">
      <w:pPr>
        <w:rPr>
          <w:lang w:val="en-US"/>
        </w:rPr>
      </w:pPr>
    </w:p>
    <w:p w14:paraId="7C25AA84" w14:textId="57C61E7E" w:rsidR="00632429" w:rsidRDefault="00632429" w:rsidP="00F372D4">
      <w:pPr>
        <w:rPr>
          <w:lang w:val="en-US"/>
        </w:rPr>
      </w:pPr>
      <w:r>
        <w:rPr>
          <w:lang w:val="en-US"/>
        </w:rPr>
        <w:t xml:space="preserve"> </w:t>
      </w:r>
    </w:p>
    <w:p w14:paraId="07D7DA41" w14:textId="77777777" w:rsidR="00EC4976" w:rsidRDefault="00EC4976" w:rsidP="00F372D4">
      <w:pPr>
        <w:rPr>
          <w:lang w:val="en-US"/>
        </w:rPr>
      </w:pPr>
    </w:p>
    <w:p w14:paraId="71AB980D" w14:textId="77777777" w:rsidR="00EC4976" w:rsidRDefault="00EC4976" w:rsidP="00F372D4">
      <w:pPr>
        <w:rPr>
          <w:lang w:val="en-US"/>
        </w:rPr>
      </w:pPr>
    </w:p>
    <w:p w14:paraId="7BB977A8" w14:textId="77777777" w:rsidR="00EC4976" w:rsidRDefault="00EC4976" w:rsidP="00F372D4">
      <w:pPr>
        <w:rPr>
          <w:lang w:val="en-US"/>
        </w:rPr>
      </w:pPr>
    </w:p>
    <w:p w14:paraId="7AC8923C" w14:textId="77777777" w:rsidR="00EC4976" w:rsidRDefault="00EC4976" w:rsidP="00F372D4">
      <w:pPr>
        <w:rPr>
          <w:lang w:val="en-US"/>
        </w:rPr>
      </w:pPr>
    </w:p>
    <w:p w14:paraId="204D4AF4" w14:textId="77777777" w:rsidR="00EC4976" w:rsidRDefault="00EC4976" w:rsidP="00F372D4">
      <w:pPr>
        <w:rPr>
          <w:lang w:val="en-US"/>
        </w:rPr>
      </w:pPr>
    </w:p>
    <w:p w14:paraId="131186BC" w14:textId="77777777" w:rsidR="00543A3C" w:rsidRDefault="00543A3C" w:rsidP="00F372D4">
      <w:pPr>
        <w:rPr>
          <w:lang w:val="en-US"/>
        </w:rPr>
      </w:pPr>
    </w:p>
    <w:p w14:paraId="6D2112D9" w14:textId="77777777" w:rsidR="00543A3C" w:rsidRDefault="00543A3C" w:rsidP="00F372D4">
      <w:pPr>
        <w:rPr>
          <w:lang w:val="en-US"/>
        </w:rPr>
      </w:pPr>
    </w:p>
    <w:p w14:paraId="42DBC67F" w14:textId="77777777" w:rsidR="00543A3C" w:rsidRPr="00543A3C" w:rsidRDefault="00543A3C" w:rsidP="00F372D4">
      <w:pPr>
        <w:rPr>
          <w:lang w:val="en-US"/>
        </w:rPr>
      </w:pPr>
    </w:p>
    <w:p w14:paraId="115AF59A" w14:textId="49A86483" w:rsidR="00AE7874" w:rsidRPr="00211992" w:rsidRDefault="00AE7874" w:rsidP="00F372D4">
      <w:pPr>
        <w:rPr>
          <w:b/>
          <w:bCs/>
          <w:lang w:val="en-US"/>
        </w:rPr>
      </w:pPr>
      <w:r w:rsidRPr="00211992">
        <w:rPr>
          <w:b/>
          <w:bCs/>
          <w:lang w:val="en-US"/>
        </w:rPr>
        <w:t># DISCUSSION</w:t>
      </w:r>
    </w:p>
    <w:p w14:paraId="39A73C13" w14:textId="7E326EE8" w:rsidR="00AE7874" w:rsidRPr="00F372D4" w:rsidRDefault="00AE7874" w:rsidP="00F372D4">
      <w:pPr>
        <w:rPr>
          <w:lang w:val="en-US"/>
        </w:rPr>
      </w:pPr>
      <w:r>
        <w:rPr>
          <w:lang w:val="en-US"/>
        </w:rPr>
        <w:t xml:space="preserve">More people report to have received exercise therapy than people who have been referred to an interview. This seems contradictory. The questions </w:t>
      </w:r>
      <w:proofErr w:type="gramStart"/>
      <w:r>
        <w:rPr>
          <w:lang w:val="en-US"/>
        </w:rPr>
        <w:t>does</w:t>
      </w:r>
      <w:proofErr w:type="gramEnd"/>
      <w:r>
        <w:rPr>
          <w:lang w:val="en-US"/>
        </w:rPr>
        <w:t xml:space="preserve"> not distinguish between exercise programming related to their diabetes or other forms of municipal exercise </w:t>
      </w:r>
      <w:proofErr w:type="gramStart"/>
      <w:r>
        <w:rPr>
          <w:lang w:val="en-US"/>
        </w:rPr>
        <w:t>services</w:t>
      </w:r>
      <w:proofErr w:type="gramEnd"/>
      <w:r>
        <w:rPr>
          <w:lang w:val="en-US"/>
        </w:rPr>
        <w:t xml:space="preserve"> for example rehabilitation (knee, hip, cancer etc.) Hence diabetes related training may be lower than the numbers shown. </w:t>
      </w:r>
    </w:p>
    <w:p w14:paraId="0647B1F4" w14:textId="77777777" w:rsidR="00F372D4" w:rsidRPr="00F372D4" w:rsidRDefault="00F372D4" w:rsidP="00F372D4">
      <w:pPr>
        <w:rPr>
          <w:lang w:val="en-US"/>
        </w:rPr>
      </w:pPr>
    </w:p>
    <w:p w14:paraId="3A7301DA" w14:textId="77777777" w:rsidR="002037C5" w:rsidRPr="00F372D4" w:rsidRDefault="002037C5">
      <w:pPr>
        <w:rPr>
          <w:lang w:val="en-US"/>
        </w:rPr>
      </w:pPr>
    </w:p>
    <w:sectPr w:rsidR="002037C5" w:rsidRPr="00F372D4" w:rsidSect="00F372D4">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701"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as Munk Jensen" w:date="2026-06-02T15:36:00Z" w:initials="JJ">
    <w:p w14:paraId="331666B4" w14:textId="77777777" w:rsidR="004C5557" w:rsidRDefault="004C5557" w:rsidP="004C5557">
      <w:pPr>
        <w:pStyle w:val="Kommentartekst"/>
      </w:pPr>
      <w:r>
        <w:rPr>
          <w:rStyle w:val="Kommentarhenvisning"/>
        </w:rPr>
        <w:annotationRef/>
      </w:r>
      <w:r>
        <w:t xml:space="preserve">Er det relevant her?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1666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0FF734" w16cex:dateUtc="2026-06-02T1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1666B4" w16cid:durableId="040FF7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1FB83" w14:textId="77777777" w:rsidR="009011C1" w:rsidRDefault="009011C1">
      <w:pPr>
        <w:spacing w:after="0" w:line="240" w:lineRule="auto"/>
      </w:pPr>
      <w:r>
        <w:separator/>
      </w:r>
    </w:p>
  </w:endnote>
  <w:endnote w:type="continuationSeparator" w:id="0">
    <w:p w14:paraId="27A0DDBF" w14:textId="77777777" w:rsidR="009011C1" w:rsidRDefault="00901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03AA" w14:textId="27C9A59A" w:rsidR="00855619" w:rsidRDefault="00F372D4" w:rsidP="006C1E7D">
    <w:pPr>
      <w:pStyle w:val="Sidefod"/>
    </w:pPr>
    <w:r>
      <w:rPr>
        <w:noProof/>
      </w:rPr>
      <mc:AlternateContent>
        <mc:Choice Requires="wps">
          <w:drawing>
            <wp:anchor distT="0" distB="0" distL="0" distR="0" simplePos="0" relativeHeight="251659264" behindDoc="0" locked="0" layoutInCell="1" allowOverlap="1" wp14:anchorId="07829218" wp14:editId="08CFD276">
              <wp:simplePos x="0" y="0"/>
              <wp:positionH relativeFrom="page">
                <wp:align>center</wp:align>
              </wp:positionH>
              <wp:positionV relativeFrom="page">
                <wp:align>bottom</wp:align>
              </wp:positionV>
              <wp:extent cx="1002665" cy="422910"/>
              <wp:effectExtent l="0" t="0" r="1905" b="0"/>
              <wp:wrapNone/>
              <wp:docPr id="75686338" name="Tekstfel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665" cy="422910"/>
                      </a:xfrm>
                      <a:prstGeom prst="rect">
                        <a:avLst/>
                      </a:prstGeom>
                      <a:noFill/>
                      <a:ln>
                        <a:noFill/>
                      </a:ln>
                    </wps:spPr>
                    <wps:txbx>
                      <w:txbxContent>
                        <w:p w14:paraId="15710403" w14:textId="77777777" w:rsidR="00855619" w:rsidRPr="00EC127D" w:rsidRDefault="00000000" w:rsidP="006C1E7D">
                          <w:pPr>
                            <w:rPr>
                              <w:noProof/>
                            </w:rPr>
                          </w:pPr>
                          <w:r w:rsidRPr="00EC127D">
                            <w:rPr>
                              <w:noProof/>
                            </w:rPr>
                            <w:t>Interne oplysninger</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07829218" id="_x0000_t202" coordsize="21600,21600" o:spt="202" path="m,l,21600r21600,l21600,xe">
              <v:stroke joinstyle="miter"/>
              <v:path gradientshapeok="t" o:connecttype="rect"/>
            </v:shapetype>
            <v:shape id="Tekstfelt 3" o:spid="_x0000_s1026" type="#_x0000_t202" style="position:absolute;margin-left:0;margin-top:0;width:78.95pt;height:33.3pt;z-index:25165926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VuFwIAAC8EAAAOAAAAZHJzL2Uyb0RvYy54bWysU01v2zAMvQ/YfxB0X+wEa7AacYqsRYYB&#10;QVsgHXpWZCk2JouCqMTOfv0oxU62bqdhF5kmKX6897S461vDjspjA7bk00nOmbISqsbuS/7tZf3h&#10;E2cYhK2EAatKflLI75bv3y06V6gZ1GAq5RkVsVh0ruR1CK7IMpS1agVOwClLQQ2+FYF+/T6rvOio&#10;emuyWZ7Psw585TxIhUjeh3OQL1N9rZUMT1qjCsyUnGYL6fTp3MUzWy5EsffC1Y0cxhD/MEUrGktN&#10;L6UeRBDs4Js/SrWN9ICgw0RCm4HWjVRpB9pmmr/ZZlsLp9IuBA66C0z4/8rKx+PWPXsW+s/QE4Fp&#10;CXQbkN+RsMk6h8WQEzHFAik7Ltpr38YvrcDoImF7uuCp+sBkrJbns/n8hjNJsY+z2e00AZ5dbzuP&#10;4YuClkWj5J74ShOI4wZD7C+KMSU2s7BujEmcGfubgxKjJ817HjEOG/pdT9nR3EF1oj09nCWATq4b&#10;6rkRGJ6FJ85pA9JxeKJDG+hKDoPFWQ3+x9/8MZ+ooChnHWmo5JZEzpn5aomiKLfR8KOxS8b0Nr/J&#10;KW4P7T2QMqf0SJxMJnl9MKOpPbSvpPBVbEQhYSW1K/luNO/DWcz0QqRarVISKcuJsLFbJ0dGI4gv&#10;/avwbkA6EEePMApMFG8AP+dGhNGtDoFgT2xcgRygJlUmkoYXFGX/63/Kur7z5U8AAAD//wMAUEsD&#10;BBQABgAIAAAAIQCCNipg2wAAAAQBAAAPAAAAZHJzL2Rvd25yZXYueG1sTI/BbsIwEETvlfoP1lbq&#10;rTiASCGNgyqknqgqAb30ZuwlSYnXUbyB8Pc1XOhlpdGMZt7my8E14oRdqD0pGI8SEEjG25pKBd+7&#10;j5c5iMCarG48oYILBlgWjw+5zqw/0wZPWy5FLKGQaQUVc5tJGUyFToeRb5Gid/Cd0xxlV0rb6XMs&#10;d42cJEkqna4pLlS6xVWF5rjtnYLZhj/7L9pNf4bJ5Xfdrsz0sDZKPT8N728gGAe+h+GKH9GhiEx7&#10;35MNolEQH+HbvXqz1wWIvYI0TUEWufwPX/wBAAD//wMAUEsBAi0AFAAGAAgAAAAhALaDOJL+AAAA&#10;4QEAABMAAAAAAAAAAAAAAAAAAAAAAFtDb250ZW50X1R5cGVzXS54bWxQSwECLQAUAAYACAAAACEA&#10;OP0h/9YAAACUAQAACwAAAAAAAAAAAAAAAAAvAQAAX3JlbHMvLnJlbHNQSwECLQAUAAYACAAAACEA&#10;OPzlbhcCAAAvBAAADgAAAAAAAAAAAAAAAAAuAgAAZHJzL2Uyb0RvYy54bWxQSwECLQAUAAYACAAA&#10;ACEAgjYqYNsAAAAEAQAADwAAAAAAAAAAAAAAAABxBAAAZHJzL2Rvd25yZXYueG1sUEsFBgAAAAAE&#10;AAQA8wAAAHkFAAAAAA==&#10;" filled="f" stroked="f">
              <v:textbox style="mso-fit-shape-to-text:t" inset="0,0,0,15pt">
                <w:txbxContent>
                  <w:p w14:paraId="15710403" w14:textId="77777777" w:rsidR="00855619" w:rsidRPr="00EC127D" w:rsidRDefault="00000000" w:rsidP="006C1E7D">
                    <w:pPr>
                      <w:rPr>
                        <w:noProof/>
                      </w:rPr>
                    </w:pPr>
                    <w:r w:rsidRPr="00EC127D">
                      <w:rPr>
                        <w:noProof/>
                      </w:rPr>
                      <w:t>Interne oplysninger</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CF38" w14:textId="77777777" w:rsidR="00855619" w:rsidRDefault="00855619" w:rsidP="006C1E7D">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D10C" w14:textId="43C4152C" w:rsidR="00855619" w:rsidRDefault="00F372D4" w:rsidP="006C1E7D">
    <w:pPr>
      <w:pStyle w:val="Sidefod"/>
    </w:pPr>
    <w:r>
      <w:rPr>
        <w:noProof/>
      </w:rPr>
      <mc:AlternateContent>
        <mc:Choice Requires="wps">
          <w:drawing>
            <wp:anchor distT="0" distB="0" distL="0" distR="0" simplePos="0" relativeHeight="251658240" behindDoc="0" locked="0" layoutInCell="1" allowOverlap="1" wp14:anchorId="372B5BE4" wp14:editId="62C89334">
              <wp:simplePos x="0" y="0"/>
              <wp:positionH relativeFrom="page">
                <wp:align>center</wp:align>
              </wp:positionH>
              <wp:positionV relativeFrom="page">
                <wp:align>bottom</wp:align>
              </wp:positionV>
              <wp:extent cx="1002665" cy="422910"/>
              <wp:effectExtent l="0" t="0" r="1905" b="0"/>
              <wp:wrapNone/>
              <wp:docPr id="136345473" name="Tekstfel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665" cy="422910"/>
                      </a:xfrm>
                      <a:prstGeom prst="rect">
                        <a:avLst/>
                      </a:prstGeom>
                      <a:noFill/>
                      <a:ln>
                        <a:noFill/>
                      </a:ln>
                    </wps:spPr>
                    <wps:txbx>
                      <w:txbxContent>
                        <w:p w14:paraId="2BB393D3" w14:textId="77777777" w:rsidR="00855619" w:rsidRPr="00EC127D" w:rsidRDefault="00000000" w:rsidP="006C1E7D">
                          <w:pPr>
                            <w:rPr>
                              <w:noProof/>
                            </w:rPr>
                          </w:pPr>
                          <w:r w:rsidRPr="00EC127D">
                            <w:rPr>
                              <w:noProof/>
                            </w:rPr>
                            <w:t>Interne oplysninger</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372B5BE4" id="_x0000_t202" coordsize="21600,21600" o:spt="202" path="m,l,21600r21600,l21600,xe">
              <v:stroke joinstyle="miter"/>
              <v:path gradientshapeok="t" o:connecttype="rect"/>
            </v:shapetype>
            <v:shape id="Tekstfelt 4" o:spid="_x0000_s1027" type="#_x0000_t202" style="position:absolute;margin-left:0;margin-top:0;width:78.95pt;height:33.3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EuiGwIAADYEAAAOAAAAZHJzL2Uyb0RvYy54bWysU01v2zAMvQ/YfxB0X+wEa7AacYqsRYYB&#10;QVsgHXpWZCk2JouCqMTOfv0oxU62bqdhF5kmKX6897S461vDjspjA7bk00nOmbISqsbuS/7tZf3h&#10;E2cYhK2EAatKflLI75bv3y06V6gZ1GAq5RkVsVh0ruR1CK7IMpS1agVOwClLQQ2+FYF+/T6rvOio&#10;emuyWZ7Psw585TxIhUjeh3OQL1N9rZUMT1qjCsyUnGYL6fTp3MUzWy5EsffC1Y0cxhD/MEUrGktN&#10;L6UeRBDs4Js/SrWN9ICgw0RCm4HWjVRpB9pmmr/ZZlsLp9IuBA66C0z4/8rKx+PWPXsW+s/QE4Fp&#10;CXQbkN+RsMk6h8WQEzHFAik7Ltpr38YvrcDoImF7uuCp+sBkrJbns/n8hjNJsY+z2e00AZ5dbzuP&#10;4YuClkWj5J74ShOI4wZD7C+KMSU2s7BujEmcGfubgxKjJ817HjEOG/pdz5oq7kWXomcH1YnW9XBW&#10;Ajq5bqj1RmB4Fp6op0VIzuGJDm2gKzkMFmc1+B9/88d8YoSinHUkpZJb0jpn5qslpqLqRsOPxi4Z&#10;09v8Jqe4PbT3QAKd0ltxMpnk9cGMpvbQvpLQV7ERhYSV1K7ku9G8D2dN00ORarVKSSQwJ8LGbp0c&#10;iY1YvvSvwrsB8EBUPcKoM1G8wf2cG4FGtzoEQj+RcgVyQJzEmbgaHlJU/6//Kev63Jc/AQAA//8D&#10;AFBLAwQUAAYACAAAACEAgjYqYNsAAAAEAQAADwAAAGRycy9kb3ducmV2LnhtbEyPwW7CMBBE75X6&#10;D9ZW6q04gEghjYMqpJ6oKgG99GbsJUmJ11G8gfD3NVzoZaXRjGbe5svBNeKEXag9KRiPEhBIxtua&#10;SgXfu4+XOYjAmqxuPKGCCwZYFo8Puc6sP9MGT1suRSyhkGkFFXObSRlMhU6HkW+RonfwndMcZVdK&#10;2+lzLHeNnCRJKp2uKS5UusVVhea47Z2C2YY/+y/aTX+GyeV33a7M9LA2Sj0/De9vIBgHvofhih/R&#10;oYhMe9+TDaJREB/h2716s9cFiL2CNE1BFrn8D1/8AQAA//8DAFBLAQItABQABgAIAAAAIQC2gziS&#10;/gAAAOEBAAATAAAAAAAAAAAAAAAAAAAAAABbQ29udGVudF9UeXBlc10ueG1sUEsBAi0AFAAGAAgA&#10;AAAhADj9If/WAAAAlAEAAAsAAAAAAAAAAAAAAAAALwEAAF9yZWxzLy5yZWxzUEsBAi0AFAAGAAgA&#10;AAAhAGdgS6IbAgAANgQAAA4AAAAAAAAAAAAAAAAALgIAAGRycy9lMm9Eb2MueG1sUEsBAi0AFAAG&#10;AAgAAAAhAII2KmDbAAAABAEAAA8AAAAAAAAAAAAAAAAAdQQAAGRycy9kb3ducmV2LnhtbFBLBQYA&#10;AAAABAAEAPMAAAB9BQAAAAA=&#10;" filled="f" stroked="f">
              <v:textbox style="mso-fit-shape-to-text:t" inset="0,0,0,15pt">
                <w:txbxContent>
                  <w:p w14:paraId="2BB393D3" w14:textId="77777777" w:rsidR="00855619" w:rsidRPr="00EC127D" w:rsidRDefault="00000000" w:rsidP="006C1E7D">
                    <w:pPr>
                      <w:rPr>
                        <w:noProof/>
                      </w:rPr>
                    </w:pPr>
                    <w:r w:rsidRPr="00EC127D">
                      <w:rPr>
                        <w:noProof/>
                      </w:rPr>
                      <w:t>Interne oplysninger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6A98D" w14:textId="77777777" w:rsidR="009011C1" w:rsidRDefault="009011C1">
      <w:pPr>
        <w:spacing w:after="0" w:line="240" w:lineRule="auto"/>
      </w:pPr>
      <w:r>
        <w:separator/>
      </w:r>
    </w:p>
  </w:footnote>
  <w:footnote w:type="continuationSeparator" w:id="0">
    <w:p w14:paraId="170357BF" w14:textId="77777777" w:rsidR="009011C1" w:rsidRDefault="00901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C9FD" w14:textId="77777777" w:rsidR="00855619" w:rsidRDefault="00855619" w:rsidP="006C1E7D">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F5630" w14:textId="77777777" w:rsidR="00855619" w:rsidRDefault="00855619" w:rsidP="006C1E7D">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C281" w14:textId="77777777" w:rsidR="00855619" w:rsidRDefault="00855619" w:rsidP="006C1E7D">
    <w:pPr>
      <w:pStyle w:val="Sidehoved"/>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Munk Jensen">
    <w15:presenceInfo w15:providerId="AD" w15:userId="S::JOMJES@onerm.dk::491a79cd-b5ae-4936-92f9-e9bae0d99d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38"/>
    <w:rsid w:val="000916EC"/>
    <w:rsid w:val="00110686"/>
    <w:rsid w:val="001A4738"/>
    <w:rsid w:val="001D35E3"/>
    <w:rsid w:val="002037C5"/>
    <w:rsid w:val="00211992"/>
    <w:rsid w:val="00223FB9"/>
    <w:rsid w:val="00260FC3"/>
    <w:rsid w:val="002E2E5B"/>
    <w:rsid w:val="003415AA"/>
    <w:rsid w:val="004C5557"/>
    <w:rsid w:val="00543A3C"/>
    <w:rsid w:val="00582606"/>
    <w:rsid w:val="00584CA1"/>
    <w:rsid w:val="00632429"/>
    <w:rsid w:val="00695823"/>
    <w:rsid w:val="007B318B"/>
    <w:rsid w:val="00804436"/>
    <w:rsid w:val="00855619"/>
    <w:rsid w:val="009011C1"/>
    <w:rsid w:val="00AD46ED"/>
    <w:rsid w:val="00AE7874"/>
    <w:rsid w:val="00C109F0"/>
    <w:rsid w:val="00D45867"/>
    <w:rsid w:val="00EB011C"/>
    <w:rsid w:val="00EC3713"/>
    <w:rsid w:val="00EC4976"/>
    <w:rsid w:val="00F372D4"/>
    <w:rsid w:val="00F42BA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EADB4"/>
  <w15:chartTrackingRefBased/>
  <w15:docId w15:val="{C50850B4-A5A6-4777-AC63-EAC571B7D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A473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Overskrift2">
    <w:name w:val="heading 2"/>
    <w:basedOn w:val="Normal"/>
    <w:next w:val="Normal"/>
    <w:link w:val="Overskrift2Tegn"/>
    <w:uiPriority w:val="9"/>
    <w:semiHidden/>
    <w:unhideWhenUsed/>
    <w:qFormat/>
    <w:rsid w:val="001A473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Overskrift3">
    <w:name w:val="heading 3"/>
    <w:basedOn w:val="Normal"/>
    <w:next w:val="Normal"/>
    <w:link w:val="Overskrift3Tegn"/>
    <w:uiPriority w:val="9"/>
    <w:semiHidden/>
    <w:unhideWhenUsed/>
    <w:qFormat/>
    <w:rsid w:val="001A4738"/>
    <w:pPr>
      <w:keepNext/>
      <w:keepLines/>
      <w:spacing w:before="160" w:after="80"/>
      <w:outlineLvl w:val="2"/>
    </w:pPr>
    <w:rPr>
      <w:rFonts w:eastAsiaTheme="majorEastAsia" w:cstheme="majorBidi"/>
      <w:color w:val="2E74B5" w:themeColor="accent1" w:themeShade="BF"/>
      <w:sz w:val="28"/>
      <w:szCs w:val="28"/>
    </w:rPr>
  </w:style>
  <w:style w:type="paragraph" w:styleId="Overskrift4">
    <w:name w:val="heading 4"/>
    <w:basedOn w:val="Normal"/>
    <w:next w:val="Normal"/>
    <w:link w:val="Overskrift4Tegn"/>
    <w:uiPriority w:val="9"/>
    <w:semiHidden/>
    <w:unhideWhenUsed/>
    <w:qFormat/>
    <w:rsid w:val="001A4738"/>
    <w:pPr>
      <w:keepNext/>
      <w:keepLines/>
      <w:spacing w:before="80" w:after="40"/>
      <w:outlineLvl w:val="3"/>
    </w:pPr>
    <w:rPr>
      <w:rFonts w:eastAsiaTheme="majorEastAsia"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1A4738"/>
    <w:pPr>
      <w:keepNext/>
      <w:keepLines/>
      <w:spacing w:before="80" w:after="40"/>
      <w:outlineLvl w:val="4"/>
    </w:pPr>
    <w:rPr>
      <w:rFonts w:eastAsiaTheme="majorEastAsia" w:cstheme="majorBidi"/>
      <w:color w:val="2E74B5" w:themeColor="accent1" w:themeShade="BF"/>
    </w:rPr>
  </w:style>
  <w:style w:type="paragraph" w:styleId="Overskrift6">
    <w:name w:val="heading 6"/>
    <w:basedOn w:val="Normal"/>
    <w:next w:val="Normal"/>
    <w:link w:val="Overskrift6Tegn"/>
    <w:uiPriority w:val="9"/>
    <w:semiHidden/>
    <w:unhideWhenUsed/>
    <w:qFormat/>
    <w:rsid w:val="001A473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A473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A473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A4738"/>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A4738"/>
    <w:rPr>
      <w:rFonts w:asciiTheme="majorHAnsi" w:eastAsiaTheme="majorEastAsia" w:hAnsiTheme="majorHAnsi" w:cstheme="majorBidi"/>
      <w:color w:val="2E74B5" w:themeColor="accent1" w:themeShade="BF"/>
      <w:sz w:val="40"/>
      <w:szCs w:val="40"/>
    </w:rPr>
  </w:style>
  <w:style w:type="character" w:customStyle="1" w:styleId="Overskrift2Tegn">
    <w:name w:val="Overskrift 2 Tegn"/>
    <w:basedOn w:val="Standardskrifttypeiafsnit"/>
    <w:link w:val="Overskrift2"/>
    <w:uiPriority w:val="9"/>
    <w:semiHidden/>
    <w:rsid w:val="001A4738"/>
    <w:rPr>
      <w:rFonts w:asciiTheme="majorHAnsi" w:eastAsiaTheme="majorEastAsia" w:hAnsiTheme="majorHAnsi" w:cstheme="majorBidi"/>
      <w:color w:val="2E74B5" w:themeColor="accent1" w:themeShade="BF"/>
      <w:sz w:val="32"/>
      <w:szCs w:val="32"/>
    </w:rPr>
  </w:style>
  <w:style w:type="character" w:customStyle="1" w:styleId="Overskrift3Tegn">
    <w:name w:val="Overskrift 3 Tegn"/>
    <w:basedOn w:val="Standardskrifttypeiafsnit"/>
    <w:link w:val="Overskrift3"/>
    <w:uiPriority w:val="9"/>
    <w:semiHidden/>
    <w:rsid w:val="001A4738"/>
    <w:rPr>
      <w:rFonts w:eastAsiaTheme="majorEastAsia" w:cstheme="majorBidi"/>
      <w:color w:val="2E74B5" w:themeColor="accent1" w:themeShade="BF"/>
      <w:sz w:val="28"/>
      <w:szCs w:val="28"/>
    </w:rPr>
  </w:style>
  <w:style w:type="character" w:customStyle="1" w:styleId="Overskrift4Tegn">
    <w:name w:val="Overskrift 4 Tegn"/>
    <w:basedOn w:val="Standardskrifttypeiafsnit"/>
    <w:link w:val="Overskrift4"/>
    <w:uiPriority w:val="9"/>
    <w:semiHidden/>
    <w:rsid w:val="001A4738"/>
    <w:rPr>
      <w:rFonts w:eastAsiaTheme="majorEastAsia"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1A4738"/>
    <w:rPr>
      <w:rFonts w:eastAsiaTheme="majorEastAsia" w:cstheme="majorBidi"/>
      <w:color w:val="2E74B5" w:themeColor="accent1" w:themeShade="BF"/>
    </w:rPr>
  </w:style>
  <w:style w:type="character" w:customStyle="1" w:styleId="Overskrift6Tegn">
    <w:name w:val="Overskrift 6 Tegn"/>
    <w:basedOn w:val="Standardskrifttypeiafsnit"/>
    <w:link w:val="Overskrift6"/>
    <w:uiPriority w:val="9"/>
    <w:semiHidden/>
    <w:rsid w:val="001A4738"/>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A4738"/>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A4738"/>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A4738"/>
    <w:rPr>
      <w:rFonts w:eastAsiaTheme="majorEastAsia" w:cstheme="majorBidi"/>
      <w:color w:val="272727" w:themeColor="text1" w:themeTint="D8"/>
    </w:rPr>
  </w:style>
  <w:style w:type="paragraph" w:styleId="Titel">
    <w:name w:val="Title"/>
    <w:basedOn w:val="Normal"/>
    <w:next w:val="Normal"/>
    <w:link w:val="TitelTegn"/>
    <w:uiPriority w:val="10"/>
    <w:qFormat/>
    <w:rsid w:val="001A4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A4738"/>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A4738"/>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A4738"/>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A4738"/>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A4738"/>
    <w:rPr>
      <w:i/>
      <w:iCs/>
      <w:color w:val="404040" w:themeColor="text1" w:themeTint="BF"/>
    </w:rPr>
  </w:style>
  <w:style w:type="paragraph" w:styleId="Listeafsnit">
    <w:name w:val="List Paragraph"/>
    <w:basedOn w:val="Normal"/>
    <w:uiPriority w:val="34"/>
    <w:qFormat/>
    <w:rsid w:val="001A4738"/>
    <w:pPr>
      <w:ind w:left="720"/>
      <w:contextualSpacing/>
    </w:pPr>
  </w:style>
  <w:style w:type="character" w:styleId="Kraftigfremhvning">
    <w:name w:val="Intense Emphasis"/>
    <w:basedOn w:val="Standardskrifttypeiafsnit"/>
    <w:uiPriority w:val="21"/>
    <w:qFormat/>
    <w:rsid w:val="001A4738"/>
    <w:rPr>
      <w:i/>
      <w:iCs/>
      <w:color w:val="2E74B5" w:themeColor="accent1" w:themeShade="BF"/>
    </w:rPr>
  </w:style>
  <w:style w:type="paragraph" w:styleId="Strktcitat">
    <w:name w:val="Intense Quote"/>
    <w:basedOn w:val="Normal"/>
    <w:next w:val="Normal"/>
    <w:link w:val="StrktcitatTegn"/>
    <w:uiPriority w:val="30"/>
    <w:qFormat/>
    <w:rsid w:val="001A47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StrktcitatTegn">
    <w:name w:val="Stærkt citat Tegn"/>
    <w:basedOn w:val="Standardskrifttypeiafsnit"/>
    <w:link w:val="Strktcitat"/>
    <w:uiPriority w:val="30"/>
    <w:rsid w:val="001A4738"/>
    <w:rPr>
      <w:i/>
      <w:iCs/>
      <w:color w:val="2E74B5" w:themeColor="accent1" w:themeShade="BF"/>
    </w:rPr>
  </w:style>
  <w:style w:type="character" w:styleId="Kraftighenvisning">
    <w:name w:val="Intense Reference"/>
    <w:basedOn w:val="Standardskrifttypeiafsnit"/>
    <w:uiPriority w:val="32"/>
    <w:qFormat/>
    <w:rsid w:val="001A4738"/>
    <w:rPr>
      <w:b/>
      <w:bCs/>
      <w:smallCaps/>
      <w:color w:val="2E74B5" w:themeColor="accent1" w:themeShade="BF"/>
      <w:spacing w:val="5"/>
    </w:rPr>
  </w:style>
  <w:style w:type="paragraph" w:styleId="Sidefod">
    <w:name w:val="footer"/>
    <w:basedOn w:val="Normal"/>
    <w:link w:val="SidefodTegn"/>
    <w:uiPriority w:val="99"/>
    <w:semiHidden/>
    <w:unhideWhenUsed/>
    <w:rsid w:val="00F372D4"/>
    <w:pPr>
      <w:tabs>
        <w:tab w:val="center" w:pos="4819"/>
        <w:tab w:val="right" w:pos="9638"/>
      </w:tabs>
      <w:spacing w:after="0" w:line="240" w:lineRule="auto"/>
    </w:pPr>
  </w:style>
  <w:style w:type="character" w:customStyle="1" w:styleId="SidefodTegn">
    <w:name w:val="Sidefod Tegn"/>
    <w:basedOn w:val="Standardskrifttypeiafsnit"/>
    <w:link w:val="Sidefod"/>
    <w:uiPriority w:val="99"/>
    <w:semiHidden/>
    <w:rsid w:val="00F372D4"/>
  </w:style>
  <w:style w:type="paragraph" w:styleId="Sidehoved">
    <w:name w:val="header"/>
    <w:basedOn w:val="Normal"/>
    <w:link w:val="SidehovedTegn"/>
    <w:uiPriority w:val="99"/>
    <w:semiHidden/>
    <w:unhideWhenUsed/>
    <w:rsid w:val="00F372D4"/>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semiHidden/>
    <w:rsid w:val="00F372D4"/>
  </w:style>
  <w:style w:type="character" w:styleId="Kommentarhenvisning">
    <w:name w:val="annotation reference"/>
    <w:basedOn w:val="Standardskrifttypeiafsnit"/>
    <w:uiPriority w:val="99"/>
    <w:semiHidden/>
    <w:unhideWhenUsed/>
    <w:rsid w:val="004C5557"/>
    <w:rPr>
      <w:sz w:val="16"/>
      <w:szCs w:val="16"/>
    </w:rPr>
  </w:style>
  <w:style w:type="paragraph" w:styleId="Kommentartekst">
    <w:name w:val="annotation text"/>
    <w:basedOn w:val="Normal"/>
    <w:link w:val="KommentartekstTegn"/>
    <w:uiPriority w:val="99"/>
    <w:unhideWhenUsed/>
    <w:rsid w:val="004C5557"/>
    <w:pPr>
      <w:spacing w:line="240" w:lineRule="auto"/>
    </w:pPr>
    <w:rPr>
      <w:sz w:val="20"/>
      <w:szCs w:val="20"/>
    </w:rPr>
  </w:style>
  <w:style w:type="character" w:customStyle="1" w:styleId="KommentartekstTegn">
    <w:name w:val="Kommentartekst Tegn"/>
    <w:basedOn w:val="Standardskrifttypeiafsnit"/>
    <w:link w:val="Kommentartekst"/>
    <w:uiPriority w:val="99"/>
    <w:rsid w:val="004C5557"/>
    <w:rPr>
      <w:sz w:val="20"/>
      <w:szCs w:val="20"/>
    </w:rPr>
  </w:style>
  <w:style w:type="paragraph" w:styleId="Kommentaremne">
    <w:name w:val="annotation subject"/>
    <w:basedOn w:val="Kommentartekst"/>
    <w:next w:val="Kommentartekst"/>
    <w:link w:val="KommentaremneTegn"/>
    <w:uiPriority w:val="99"/>
    <w:semiHidden/>
    <w:unhideWhenUsed/>
    <w:rsid w:val="004C5557"/>
    <w:rPr>
      <w:b/>
      <w:bCs/>
    </w:rPr>
  </w:style>
  <w:style w:type="character" w:customStyle="1" w:styleId="KommentaremneTegn">
    <w:name w:val="Kommentaremne Tegn"/>
    <w:basedOn w:val="KommentartekstTegn"/>
    <w:link w:val="Kommentaremne"/>
    <w:uiPriority w:val="99"/>
    <w:semiHidden/>
    <w:rsid w:val="004C55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602083">
      <w:bodyDiv w:val="1"/>
      <w:marLeft w:val="0"/>
      <w:marRight w:val="0"/>
      <w:marTop w:val="0"/>
      <w:marBottom w:val="0"/>
      <w:divBdr>
        <w:top w:val="none" w:sz="0" w:space="0" w:color="auto"/>
        <w:left w:val="none" w:sz="0" w:space="0" w:color="auto"/>
        <w:bottom w:val="none" w:sz="0" w:space="0" w:color="auto"/>
        <w:right w:val="none" w:sz="0" w:space="0" w:color="auto"/>
      </w:divBdr>
    </w:div>
    <w:div w:id="1604605817">
      <w:bodyDiv w:val="1"/>
      <w:marLeft w:val="0"/>
      <w:marRight w:val="0"/>
      <w:marTop w:val="0"/>
      <w:marBottom w:val="0"/>
      <w:divBdr>
        <w:top w:val="none" w:sz="0" w:space="0" w:color="auto"/>
        <w:left w:val="none" w:sz="0" w:space="0" w:color="auto"/>
        <w:bottom w:val="none" w:sz="0" w:space="0" w:color="auto"/>
        <w:right w:val="none" w:sz="0" w:space="0" w:color="auto"/>
      </w:divBdr>
    </w:div>
    <w:div w:id="1612317076">
      <w:bodyDiv w:val="1"/>
      <w:marLeft w:val="0"/>
      <w:marRight w:val="0"/>
      <w:marTop w:val="0"/>
      <w:marBottom w:val="0"/>
      <w:divBdr>
        <w:top w:val="none" w:sz="0" w:space="0" w:color="auto"/>
        <w:left w:val="none" w:sz="0" w:space="0" w:color="auto"/>
        <w:bottom w:val="none" w:sz="0" w:space="0" w:color="auto"/>
        <w:right w:val="none" w:sz="0" w:space="0" w:color="auto"/>
      </w:divBdr>
    </w:div>
    <w:div w:id="1944878667">
      <w:bodyDiv w:val="1"/>
      <w:marLeft w:val="0"/>
      <w:marRight w:val="0"/>
      <w:marTop w:val="0"/>
      <w:marBottom w:val="0"/>
      <w:divBdr>
        <w:top w:val="none" w:sz="0" w:space="0" w:color="auto"/>
        <w:left w:val="none" w:sz="0" w:space="0" w:color="auto"/>
        <w:bottom w:val="none" w:sz="0" w:space="0" w:color="auto"/>
        <w:right w:val="none" w:sz="0" w:space="0" w:color="auto"/>
      </w:divBdr>
    </w:div>
    <w:div w:id="212418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1342</Words>
  <Characters>8190</Characters>
  <Application>Microsoft Office Word</Application>
  <DocSecurity>0</DocSecurity>
  <Lines>68</Lines>
  <Paragraphs>19</Paragraphs>
  <ScaleCrop>false</ScaleCrop>
  <HeadingPairs>
    <vt:vector size="2" baseType="variant">
      <vt:variant>
        <vt:lpstr>Titel</vt:lpstr>
      </vt:variant>
      <vt:variant>
        <vt:i4>1</vt:i4>
      </vt:variant>
    </vt:vector>
  </HeadingPairs>
  <TitlesOfParts>
    <vt:vector size="1" baseType="lpstr">
      <vt:lpstr/>
    </vt:vector>
  </TitlesOfParts>
  <Company>Region Midtjylland</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Munk Jensen</dc:creator>
  <cp:keywords/>
  <dc:description/>
  <cp:lastModifiedBy>Jonas Munk Jensen</cp:lastModifiedBy>
  <cp:revision>11</cp:revision>
  <dcterms:created xsi:type="dcterms:W3CDTF">2026-06-01T11:13:00Z</dcterms:created>
  <dcterms:modified xsi:type="dcterms:W3CDTF">2026-06-02T13:36:00Z</dcterms:modified>
</cp:coreProperties>
</file>