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Mit ståsted i ph.d.-projektet</w:t>
      </w:r>
    </w:p>
    <w:p>
      <w:pPr>
        <w:spacing w:after="160"/>
      </w:pPr>
      <w:r>
        <w:rPr>
          <w:color w:val="6B7B83"/>
          <w:sz w:val="24"/>
          <w:szCs w:val="24"/>
        </w:rPr>
        <w:t xml:space="preserve">Arbejdsdokument · positionering</w:t>
      </w:r>
    </w:p>
    <w:p>
      <w:pPr>
        <w:pBdr>
          <w:left w:val="single" w:color="87D1F4" w:sz="12" w:space="8"/>
        </w:pBdr>
        <w:spacing w:after="240"/>
      </w:pPr>
      <w:r>
        <w:rPr>
          <w:i/>
          <w:iCs/>
          <w:color w:val="6B7B83"/>
          <w:sz w:val="20"/>
          <w:szCs w:val="20"/>
        </w:rPr>
        <w:t xml:space="preserve">Kursiv tekst er forslag og tilføjelser, som jeg selv skal tage stilling til – ret, slet eller behold.</w:t>
      </w:r>
    </w:p>
    <w:p>
      <w:pPr>
        <w:pStyle w:val="Heading1"/>
        <w:spacing w:after="120" w:before="320"/>
      </w:pPr>
      <w:r>
        <w:t xml:space="preserve">1. Hvem jeg er</w:t>
      </w:r>
    </w:p>
    <w:p>
      <w:pPr>
        <w:spacing w:after="140" w:line="288"/>
      </w:pPr>
      <w:r>
        <w:t xml:space="preserve">Sundhed og bevægelse fylder meget i mit liv. Jeg har altid trænet – fodbold som barn, kampsport som voksen. Det, der driver mig, har aldrig været holdspillet, men følelsen af at bruge kroppen og at være i god form. Med årene er min træning blevet mindre ekstrem. Jeg har lært, at små doser, ofte, og konsistens over tid giver mere end at presse kroppen og risikere skader eller udbrændthed.</w:t>
      </w:r>
    </w:p>
    <w:p>
      <w:pPr>
        <w:spacing w:after="140" w:line="288"/>
      </w:pPr>
      <w:r>
        <w:t xml:space="preserve">For mig er det at holde mig sund næsten en pligt – for at kunne være den far og partner, jeg gerne vil være. Jeg er meget forbundet med min krop. Jeg kan mærke stress, sygdom på vej eller en periode med usunde vaner, og jeg bruger de signaler til at planlægge og tage ting i opløbet. Det er også værdier, jeg tager med hjem: Vi cykler i skole, og weekenderne går ofte i skoven.</w:t>
      </w:r>
    </w:p>
    <w:p>
      <w:pPr>
        <w:spacing w:after="140" w:line="288"/>
      </w:pPr>
      <w:r>
        <w:t xml:space="preserve">Her er jeg ambivalent. Jeg mener, at folk har ret til at træffe deres egne valg, og jeg er blevet mere forstående med tiden. Folk har meget forskellige forudsætninger, og nogle bryder sig simpelthen ikke om at få pulsen op. Alligevel har jeg – hvis jeg skal være ærlig – svært ved at forstå, når velinformerede mennesker, der træffer kloge valg på mange andre områder, ikke passer på den krop, der skal bære dem resten af livet. Jeg tænker ikke på dem, der lever et hårdt liv, hvor selvomsorg ligger langt nede på listen. Når jeg skriver det her, kan jeg godt høre, at jeg lyder en anelse ekstrem. </w:t>
      </w:r>
      <w:r>
        <w:rPr>
          <w:i/>
          <w:iCs/>
        </w:rPr>
        <w:t xml:space="preserve">Netop derfor er det et sted, jeg skal være særligt opmærksom i min forskning.</w:t>
      </w:r>
    </w:p>
    <w:p>
      <w:pPr>
        <w:spacing w:after="140" w:line="288"/>
      </w:pPr>
      <w:r>
        <w:t xml:space="preserve">Jeg er også bekymret for udviklingen, hvor færre lever op til anbefalingerne for fysisk aktivitet, og hvor mange af os – også mig selv – bruger store dele af dagen foran en skærm. </w:t>
      </w:r>
      <w:r>
        <w:rPr>
          <w:i/>
          <w:iCs/>
        </w:rPr>
        <w:t xml:space="preserve">Det kan påvirke, hvordan jeg læser data om stillesiddende tid: som et problem, der skal løses, snarere end som et neutralt fund.</w:t>
      </w:r>
    </w:p>
    <w:p>
      <w:pPr>
        <w:pStyle w:val="Heading1"/>
        <w:spacing w:after="120" w:before="320"/>
      </w:pPr>
      <w:r>
        <w:t xml:space="preserve">2. Min faglige vej</w:t>
      </w:r>
    </w:p>
    <w:p>
      <w:pPr>
        <w:spacing w:after="140" w:line="288"/>
      </w:pPr>
      <w:r>
        <w:t xml:space="preserve">Jeg blev fysioterapeut inden for type 2-diabetes, fordi jeg tænkte, at det var der, jeg kunne gøre størst forskel for flest. Jeg har arbejdet i en kommune og samarbejder i dag tæt med kommunerne i Region Midtjylland. Jeg tog initiativ til LIVING, fordi jeg længe har ønsket at undersøge, hvad træning lægger oveni patientuddannelse – og jeg har selv designet træningsindsatsen.</w:t>
      </w:r>
    </w:p>
    <w:p>
      <w:pPr>
        <w:spacing w:after="140" w:line="288"/>
      </w:pPr>
      <w:r>
        <w:rPr>
          <w:i/>
          <w:iCs/>
        </w:rPr>
        <w:t xml:space="preserve">Jeg er ansat på Steno Diabetes Center Aarhus, og LIVING er delvist finansieret af en ubunden donation fra Novo Nordisk Fonden. Det har ikke indflydelse på design eller analyse, men det hører med til billedet af, hvor jeg står.</w:t>
      </w:r>
    </w:p>
    <w:p>
      <w:pPr>
        <w:pStyle w:val="Heading1"/>
        <w:spacing w:after="120" w:before="320"/>
      </w:pPr>
      <w:r>
        <w:t xml:space="preserve">3. Det, jeg tror på</w:t>
      </w:r>
    </w:p>
    <w:p>
      <w:pPr>
        <w:spacing w:after="140" w:line="288"/>
      </w:pPr>
      <w:r>
        <w:t xml:space="preserve">Jeg går ind i projektet med nogle overbevisninger, som det er vigtigt at have for øje:</w:t>
      </w:r>
    </w:p>
    <w:p>
      <w:pPr>
        <w:pStyle w:val="ListParagraph"/>
        <w:numPr>
          <w:ilvl w:val="0"/>
          <w:numId w:val="2"/>
        </w:numPr>
        <w:spacing w:after="100" w:line="288"/>
      </w:pPr>
      <w:r>
        <w:t xml:space="preserve">Træning er en grundsten i behandlingen af type 2-diabetes – ikke nødvendigvis fordi man taber sig mest, men fordi man får flere gode og funktionelle leveår.</w:t>
      </w:r>
    </w:p>
    <w:p>
      <w:pPr>
        <w:pStyle w:val="ListParagraph"/>
        <w:numPr>
          <w:ilvl w:val="0"/>
          <w:numId w:val="2"/>
        </w:numPr>
        <w:spacing w:after="100" w:line="288"/>
      </w:pPr>
      <w:r>
        <w:t xml:space="preserve">Træning giver mentalt overskud og en følelse af at lykkes – et lille ”tjek” i hverdagen. Sådan er det for mig, og jeg har hørt mange borgere sige noget lignende. </w:t>
      </w:r>
      <w:r>
        <w:rPr>
          <w:i/>
          <w:iCs/>
        </w:rPr>
        <w:t xml:space="preserve">Men de borgere har jeg mødt i klinikken eller i forskningsprojekter. Jeg skal passe på ikke at tage min egen og deres oplevelse for at gælde alle.</w:t>
      </w:r>
    </w:p>
    <w:p>
      <w:pPr>
        <w:pStyle w:val="ListParagraph"/>
        <w:numPr>
          <w:ilvl w:val="0"/>
          <w:numId w:val="2"/>
        </w:numPr>
        <w:spacing w:after="100" w:line="288"/>
      </w:pPr>
      <w:r>
        <w:t xml:space="preserve">Fællesskabet er måske vigtigere end den professionelle vejledning. Jeg ville egentlig gerne have haft en arm med træning uden patientuddannelse, fordi jeg tror, at det afgørende er sunde fællesskaber, der ikke stopper, når forløbet slutter. </w:t>
      </w:r>
      <w:r>
        <w:rPr>
          <w:i/>
          <w:iCs/>
        </w:rPr>
        <w:t xml:space="preserve">Det er ikke det, LIVING tester. Det kan farve min tolkning: I det kvalitative studie kan jeg komme til at lede efter fællesskab, og i RCT’en kan jeg komme til at tilskrive en effekt af HIIT til sammenholdet frem for selve træningen.</w:t>
      </w:r>
    </w:p>
    <w:p>
      <w:pPr>
        <w:pStyle w:val="ListParagraph"/>
        <w:numPr>
          <w:ilvl w:val="0"/>
          <w:numId w:val="2"/>
        </w:numPr>
        <w:spacing w:after="100" w:line="288"/>
      </w:pPr>
      <w:r>
        <w:t xml:space="preserve">De kommunale tilbud er en stor, uudnyttet ressource.</w:t>
      </w:r>
    </w:p>
    <w:p>
      <w:pPr>
        <w:spacing w:after="140" w:line="288"/>
      </w:pPr>
      <w:r>
        <w:t xml:space="preserve">Min største blinde vinkel er, at jeg mest møder dem, der allerede er motiverede – dem, der kommer i klinikken eller melder sig til et forskningsprojekt. Jeg ser ikke de mange, for hvem træning er en by i Rusland. </w:t>
      </w:r>
      <w:r>
        <w:rPr>
          <w:i/>
          <w:iCs/>
        </w:rPr>
        <w:t xml:space="preserve">Det er en af grundene til, at studie 3 er vigtigt for mig: Det ser på hele populationen, også dem, der aldrig dukker op.</w:t>
      </w:r>
    </w:p>
    <w:p>
      <w:pPr>
        <w:pStyle w:val="Heading1"/>
        <w:spacing w:after="120" w:before="320"/>
      </w:pPr>
      <w:r>
        <w:t xml:space="preserve">4. Hvor mit ståsted kan slå igennem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C6C6C6" w:sz="4"/>
              <w:left w:val="single" w:color="C6C6C6" w:sz="4"/>
              <w:bottom w:val="single" w:color="C6C6C6" w:sz="4"/>
              <w:right w:val="single" w:color="C6C6C6" w:sz="4"/>
            </w:tcBorders>
            <w:shd w:fill="003E5C" w:color="auto" w:val="clear"/>
            <w:tcMar>
              <w:top w:type="dxa" w:w="100"/>
              <w:left w:type="dxa" w:w="120"/>
              <w:bottom w:type="dxa" w:w="100"/>
              <w:right w:type="dxa" w:w="120"/>
            </w:tcMar>
          </w:tcPr>
          <w:p>
            <w:pPr>
              <w:spacing w:after="80" w:line="276"/>
            </w:pPr>
          </w:p>
        </w:tc>
        <w:tc>
          <w:tcPr>
            <w:tcW w:type="dxa" w:w="3663"/>
            <w:tcBorders>
              <w:top w:val="single" w:color="C6C6C6" w:sz="4"/>
              <w:left w:val="single" w:color="C6C6C6" w:sz="4"/>
              <w:bottom w:val="single" w:color="C6C6C6" w:sz="4"/>
              <w:right w:val="single" w:color="C6C6C6" w:sz="4"/>
            </w:tcBorders>
            <w:shd w:fill="003E5C" w:color="auto" w:val="clear"/>
            <w:tcMar>
              <w:top w:type="dxa" w:w="100"/>
              <w:left w:type="dxa" w:w="120"/>
              <w:bottom w:type="dxa" w:w="100"/>
              <w:right w:type="dxa" w:w="120"/>
            </w:tcMar>
          </w:tcPr>
          <w:p>
            <w:pPr>
              <w:spacing w:after="80" w:line="276"/>
            </w:pPr>
            <w:r>
              <w:rPr>
                <w:b/>
                <w:bCs/>
                <w:color w:val="FFFFFF"/>
              </w:rPr>
              <w:t xml:space="preserve">Hvor kan det påvirke?</w:t>
            </w:r>
          </w:p>
        </w:tc>
        <w:tc>
          <w:tcPr>
            <w:tcW w:type="dxa" w:w="3663"/>
            <w:tcBorders>
              <w:top w:val="single" w:color="C6C6C6" w:sz="4"/>
              <w:left w:val="single" w:color="C6C6C6" w:sz="4"/>
              <w:bottom w:val="single" w:color="C6C6C6" w:sz="4"/>
              <w:right w:val="single" w:color="C6C6C6" w:sz="4"/>
            </w:tcBorders>
            <w:shd w:fill="003E5C" w:color="auto" w:val="clear"/>
            <w:tcMar>
              <w:top w:type="dxa" w:w="100"/>
              <w:left w:type="dxa" w:w="120"/>
              <w:bottom w:type="dxa" w:w="100"/>
              <w:right w:type="dxa" w:w="120"/>
            </w:tcMar>
          </w:tcPr>
          <w:p>
            <w:pPr>
              <w:spacing w:after="80" w:line="276"/>
            </w:pPr>
            <w:r>
              <w:rPr>
                <w:b/>
                <w:bCs/>
                <w:color w:val="FFFFFF"/>
              </w:rPr>
              <w:t xml:space="preserve">Hvad gør jeg ved det?</w:t>
            </w:r>
          </w:p>
        </w:tc>
      </w:tr>
      <w:tr>
        <w:trPr>
          <w:cantSplit/>
          <w:tblHeader w:val="off"/>
        </w:trPr>
        <w:tc>
          <w:tcPr>
            <w:tcW w:type="dxa" w:w="1700"/>
            <w:tcBorders>
              <w:top w:val="single" w:color="C6C6C6" w:sz="4"/>
              <w:left w:val="single" w:color="C6C6C6" w:sz="4"/>
              <w:bottom w:val="single" w:color="C6C6C6" w:sz="4"/>
              <w:right w:val="single" w:color="C6C6C6" w:sz="4"/>
            </w:tcBorders>
            <w:shd w:fill="E6F0F4" w:color="auto" w:val="clear"/>
            <w:tcMar>
              <w:top w:type="dxa" w:w="100"/>
              <w:left w:type="dxa" w:w="120"/>
              <w:bottom w:type="dxa" w:w="100"/>
              <w:right w:type="dxa" w:w="120"/>
            </w:tcMar>
          </w:tcPr>
          <w:p>
            <w:pPr>
              <w:spacing w:after="80" w:line="276"/>
            </w:pPr>
            <w:r>
              <w:t xml:space="preserve">Studie 1 · RCT</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t xml:space="preserve">Jeg har designet træningsindsatsen og håber, at den virker. Jeg ville være ærgerlig, hvis effekten ikke var stor nok til at blive opdaget. Det kan påvirke mine analysevalg og min fortolkning.</w:t>
            </w:r>
          </w:p>
          <w:p>
            <w:pPr>
              <w:spacing w:after="80" w:line="276"/>
            </w:pPr>
            <w:r>
              <w:rPr>
                <w:i/>
                <w:iCs/>
              </w:rPr>
              <w:t xml:space="preserve">Fx valget af MVPA baseret på aktivitetstyper – en metode, jeg selv har været med til at vælge.</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rPr>
                <w:i/>
                <w:iCs/>
              </w:rPr>
              <w:t xml:space="preserve">Registreret på ClinicalTrials.gov og analyseplan lagt fast på forhånd.</w:t>
            </w:r>
          </w:p>
          <w:p>
            <w:pPr>
              <w:spacing w:after="80" w:line="276"/>
            </w:pPr>
            <w:r>
              <w:rPr>
                <w:i/>
                <w:iCs/>
              </w:rPr>
              <w:t xml:space="preserve">Intention-to-treat, og randomisering lavet af en uafhængig statistiker.</w:t>
            </w:r>
          </w:p>
          <w:p>
            <w:pPr>
              <w:spacing w:after="80" w:line="276"/>
            </w:pPr>
            <w:r>
              <w:rPr>
                <w:i/>
                <w:iCs/>
              </w:rPr>
              <w:t xml:space="preserve">Sensitivitetsanalyse med SDU’s hidtidige metode til MVPA.</w:t>
            </w:r>
          </w:p>
          <w:p>
            <w:pPr>
              <w:spacing w:after="80" w:line="276"/>
            </w:pPr>
            <w:r>
              <w:rPr>
                <w:i/>
                <w:iCs/>
              </w:rPr>
              <w:t xml:space="preserve">Blindet analyse: modellen låses, før jeg ser, hvilken gruppe der er hvilken.</w:t>
            </w:r>
          </w:p>
        </w:tc>
      </w:tr>
      <w:tr>
        <w:trPr>
          <w:cantSplit/>
          <w:tblHeader w:val="off"/>
        </w:trPr>
        <w:tc>
          <w:tcPr>
            <w:tcW w:type="dxa" w:w="1700"/>
            <w:tcBorders>
              <w:top w:val="single" w:color="C6C6C6" w:sz="4"/>
              <w:left w:val="single" w:color="C6C6C6" w:sz="4"/>
              <w:bottom w:val="single" w:color="C6C6C6" w:sz="4"/>
              <w:right w:val="single" w:color="C6C6C6" w:sz="4"/>
            </w:tcBorders>
            <w:shd w:fill="E6F0F4" w:color="auto" w:val="clear"/>
            <w:tcMar>
              <w:top w:type="dxa" w:w="100"/>
              <w:left w:type="dxa" w:w="120"/>
              <w:bottom w:type="dxa" w:w="100"/>
              <w:right w:type="dxa" w:w="120"/>
            </w:tcMar>
          </w:tcPr>
          <w:p>
            <w:pPr>
              <w:spacing w:after="80" w:line="276"/>
            </w:pPr>
            <w:r>
              <w:t xml:space="preserve">Studie 2 · Kvalitativt</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t xml:space="preserve">Her sidder jeg lige over for borgeren. De ved, at jeg kommer fra Steno, at jeg er fysioterapeut, og man kan se, at jeg træner. De kan komme til at fortælle den historie, de tror, jeg gerne vil høre.</w:t>
            </w:r>
          </w:p>
          <w:p>
            <w:pPr>
              <w:spacing w:after="80" w:line="276"/>
            </w:pPr>
            <w:r>
              <w:rPr>
                <w:i/>
                <w:iCs/>
              </w:rPr>
              <w:t xml:space="preserve">Og jeg kan komme til at lytte mest efter det, der bekræfter mine egne antagelser – fx om fællesskab og om følelsen af at lykkes.</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t xml:space="preserve">Jeg understreger, at der ikke er rigtige eller forkerte svar. Jeg fortæller ikke, at jeg har designet studiet og træningen, og jeg har haft løst tøj på for ikke at signalere, at jeg er træningsvant. Det er en utopi at tro, at jeg kan være neutral – men jeg kan være bevidst.</w:t>
            </w:r>
          </w:p>
          <w:p>
            <w:pPr>
              <w:spacing w:after="80" w:line="276"/>
            </w:pPr>
            <w:r>
              <w:rPr>
                <w:i/>
                <w:iCs/>
              </w:rPr>
              <w:t xml:space="preserve">Forskerdagbog med refleksioner efter hvert interview.</w:t>
            </w:r>
          </w:p>
          <w:p>
            <w:pPr>
              <w:spacing w:after="80" w:line="276"/>
            </w:pPr>
            <w:r>
              <w:rPr>
                <w:i/>
                <w:iCs/>
              </w:rPr>
              <w:t xml:space="preserve">Kodning og diskussion af temaer sammen med en anden forsker, fx min antropologiske vejleder.</w:t>
            </w:r>
          </w:p>
          <w:p>
            <w:pPr>
              <w:spacing w:after="80" w:line="276"/>
            </w:pPr>
            <w:r>
              <w:rPr>
                <w:i/>
                <w:iCs/>
              </w:rPr>
              <w:t xml:space="preserve">Aktivt lede efter fortællinger, der går imod mine antagelser – især hos dem, der fravalgte HIIT.</w:t>
            </w:r>
          </w:p>
        </w:tc>
      </w:tr>
      <w:tr>
        <w:trPr>
          <w:cantSplit/>
          <w:tblHeader w:val="off"/>
        </w:trPr>
        <w:tc>
          <w:tcPr>
            <w:tcW w:type="dxa" w:w="1700"/>
            <w:tcBorders>
              <w:top w:val="single" w:color="C6C6C6" w:sz="4"/>
              <w:left w:val="single" w:color="C6C6C6" w:sz="4"/>
              <w:bottom w:val="single" w:color="C6C6C6" w:sz="4"/>
              <w:right w:val="single" w:color="C6C6C6" w:sz="4"/>
            </w:tcBorders>
            <w:shd w:fill="E6F0F4" w:color="auto" w:val="clear"/>
            <w:tcMar>
              <w:top w:type="dxa" w:w="100"/>
              <w:left w:type="dxa" w:w="120"/>
              <w:bottom w:type="dxa" w:w="100"/>
              <w:right w:type="dxa" w:w="120"/>
            </w:tcMar>
          </w:tcPr>
          <w:p>
            <w:pPr>
              <w:spacing w:after="80" w:line="276"/>
            </w:pPr>
            <w:r>
              <w:t xml:space="preserve">Studie 3 · Register</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t xml:space="preserve">Jeg har et kommunalt insiderblik og ser tilbuddene som en uudnyttet ressource. Jeg har svært ved at forstå, at så mange praksis ikke henviser.</w:t>
            </w:r>
          </w:p>
          <w:p>
            <w:pPr>
              <w:spacing w:after="80" w:line="276"/>
            </w:pPr>
            <w:r>
              <w:rPr>
                <w:i/>
                <w:iCs/>
              </w:rPr>
              <w:t xml:space="preserve">Det kan føre til, at jeg læser resultaterne som et svigt i almen praksis. Men data er selvrapporterede og kan ikke skelne mellem ”blev ikke tilbudt” og ”husker det ikke”. Og ”udækket behov” er et ønske, borgeren selv udtrykker – ikke et målt behov.</w:t>
            </w:r>
          </w:p>
        </w:tc>
        <w:tc>
          <w:tcPr>
            <w:tcW w:type="dxa" w:w="3663"/>
            <w:tcBorders>
              <w:top w:val="single" w:color="C6C6C6" w:sz="4"/>
              <w:left w:val="single" w:color="C6C6C6" w:sz="4"/>
              <w:bottom w:val="single" w:color="C6C6C6" w:sz="4"/>
              <w:right w:val="single" w:color="C6C6C6" w:sz="4"/>
            </w:tcBorders>
            <w:tcMar>
              <w:top w:type="dxa" w:w="100"/>
              <w:left w:type="dxa" w:w="120"/>
              <w:bottom w:type="dxa" w:w="100"/>
              <w:right w:type="dxa" w:w="120"/>
            </w:tcMar>
          </w:tcPr>
          <w:p>
            <w:pPr>
              <w:spacing w:after="80" w:line="276"/>
            </w:pPr>
            <w:r>
              <w:rPr>
                <w:i/>
                <w:iCs/>
              </w:rPr>
              <w:t xml:space="preserve">Analyseplan på OSF, før analyserne går i gang.</w:t>
            </w:r>
          </w:p>
          <w:p>
            <w:pPr>
              <w:spacing w:after="80" w:line="276"/>
            </w:pPr>
            <w:r>
              <w:rPr>
                <w:i/>
                <w:iCs/>
              </w:rPr>
              <w:t xml:space="preserve">Frafaldsanalyse og vægtning, så jeg kan se, hvem der mangler.</w:t>
            </w:r>
          </w:p>
          <w:p>
            <w:pPr>
              <w:spacing w:after="80" w:line="276"/>
            </w:pPr>
            <w:r>
              <w:rPr>
                <w:i/>
                <w:iCs/>
              </w:rPr>
              <w:t xml:space="preserve">Forsigtig formulering af fund om henvisning.</w:t>
            </w:r>
          </w:p>
          <w:p>
            <w:pPr>
              <w:spacing w:after="80" w:line="276"/>
            </w:pPr>
            <w:r>
              <w:rPr>
                <w:i/>
                <w:iCs/>
              </w:rPr>
              <w:t xml:space="preserve">Medforfattere fra andre fagligheder med i fortolkningen.</w:t>
            </w:r>
          </w:p>
        </w:tc>
      </w:tr>
    </w:tbl>
    <w:p>
      <w:pPr>
        <w:spacing w:after="120"/>
      </w:pPr>
    </w:p>
    <w:p>
      <w:pPr>
        <w:pStyle w:val="Heading1"/>
        <w:spacing w:after="120" w:before="320"/>
      </w:pPr>
      <w:r>
        <w:t xml:space="preserve">5. Åbne spørgsmål</w:t>
      </w:r>
    </w:p>
    <w:p>
      <w:pPr>
        <w:pStyle w:val="ListParagraph"/>
        <w:numPr>
          <w:ilvl w:val="0"/>
          <w:numId w:val="2"/>
        </w:numPr>
        <w:spacing w:after="100" w:line="288"/>
      </w:pPr>
      <w:r>
        <w:rPr>
          <w:i/>
          <w:iCs/>
        </w:rPr>
        <w:t xml:space="preserve">Hvor meget af dette skal med i artiklerne, og hvor meget hører kun til afhandlingen?</w:t>
      </w:r>
    </w:p>
    <w:p>
      <w:pPr>
        <w:pStyle w:val="ListParagraph"/>
        <w:numPr>
          <w:ilvl w:val="0"/>
          <w:numId w:val="2"/>
        </w:numPr>
        <w:spacing w:after="100" w:line="288"/>
      </w:pPr>
      <w:r>
        <w:rPr>
          <w:i/>
          <w:iCs/>
        </w:rPr>
        <w:t xml:space="preserve">Hvilke af mine roller ser andre som den største risiko for at farve resultaterne?</w:t>
      </w:r>
    </w:p>
    <w:p>
      <w:pPr>
        <w:pStyle w:val="ListParagraph"/>
        <w:numPr>
          <w:ilvl w:val="0"/>
          <w:numId w:val="2"/>
        </w:numPr>
        <w:spacing w:after="100" w:line="288"/>
      </w:pPr>
      <w:r>
        <w:rPr>
          <w:i/>
          <w:iCs/>
        </w:rPr>
        <w:t xml:space="preserve">Hvordan dokumenterer jeg undervejs, hvis mit ståsted ændrer sig?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003E5C"/>
      <w:sz w:val="44"/>
      <w:szCs w:val="44"/>
    </w:rPr>
  </w:style>
  <w:style w:type="paragraph" w:styleId="Heading1">
    <w:name w:val="Heading 1"/>
    <w:basedOn w:val="Normal"/>
    <w:next w:val="Normal"/>
    <w:qFormat/>
    <w:pPr>
      <w:outlineLvl w:val="0"/>
    </w:pPr>
    <w:rPr>
      <w:rFonts w:ascii="Calibri" w:cs="Calibri" w:eastAsia="Calibri" w:hAnsi="Calibri"/>
      <w:b/>
      <w:bCs/>
      <w:color w:val="003E5C"/>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2026-10-28T13:19:10.190Z</dcterms:created>
  <dcterms:modified xsi:type="dcterms:W3CDTF">2026-10-28T13:19:10.191Z</dcterms:modified>
</cp:coreProperties>
</file>

<file path=docProps/custom.xml><?xml version="1.0" encoding="utf-8"?>
<Properties xmlns="http://schemas.openxmlformats.org/officeDocument/2006/custom-properties" xmlns:vt="http://schemas.openxmlformats.org/officeDocument/2006/docPropsVTypes"/>
</file>