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r>
        <w:rPr>
          <w:rFonts w:ascii="Calibri" w:hAnsi="Calibri"/>
          <w:b/>
          <w:color w:val="4DB7E3"/>
          <w:sz w:val="22"/>
        </w:rPr>
        <w:t>INFORME ESTRATÉGICO DE CONSULTORÍA Y ARQUITECTURA DE SISTEMAS</w:t>
      </w:r>
    </w:p>
    <w:p>
      <w:pPr>
        <w:spacing w:before="200" w:after="280"/>
      </w:pPr>
      <w:r>
        <w:rPr>
          <w:rFonts w:ascii="Calibri" w:hAnsi="Calibri"/>
          <w:b/>
          <w:color w:val="1A3A6E"/>
          <w:sz w:val="52"/>
        </w:rPr>
        <w:t>Estudio de Informatización Integral y Especificación de Requisitos para la Implantación de un Sistema ERP / CRM</w:t>
      </w:r>
    </w:p>
    <w:p>
      <w:pPr>
        <w:spacing w:after="600"/>
      </w:pPr>
      <w:r>
        <w:rPr>
          <w:rFonts w:ascii="Calibri" w:hAnsi="Calibri"/>
          <w:color w:val="212529"/>
          <w:sz w:val="26"/>
        </w:rPr>
        <w:t>Análisis de Procesos Operativos, Caracterización de Servicios, Modelo de Información Unificado y Hoja de Ruta de Transformación Digital para IMAX PC (Imaxpcsystem, S.L.)</w:t>
      </w:r>
    </w:p>
    <w:p>
      <w:pPr>
        <w:spacing w:after="800"/>
      </w:pPr>
      <w:r>
        <w:rPr>
          <w:b/>
          <w:color w:val="4DB7E3"/>
        </w:rPr>
        <w:t>―――――――――――――――――――――――――――――――――――――――――――――</w:t>
      </w:r>
    </w:p>
    <w:tbl>
      <w:tblPr>
        <w:tblW w:type="auto" w:w="0"/>
        <w:jc w:val="left"/>
        <w:tblLook w:firstColumn="1" w:firstRow="1" w:lastColumn="0" w:lastRow="0" w:noHBand="0" w:noVBand="1" w:val="04A0"/>
      </w:tblPr>
      <w:tblGrid>
        <w:gridCol w:w="4514"/>
        <w:gridCol w:w="4514"/>
      </w:tblGrid>
      <w:tr>
        <w:tc>
          <w:tcPr>
            <w:tcW w:type="dxa" w:w="3168"/>
            <w:shd w:fill="FFFFFF"/>
            <w:tcMar>
              <w:top w:w="100" w:type="dxa"/>
              <w:bottom w:w="100" w:type="dxa"/>
              <w:left w:w="180" w:type="dxa"/>
              <w:right w:w="180" w:type="dxa"/>
            </w:tcMar>
            <w:vAlign w:val="center"/>
          </w:tcPr>
          <w:p>
            <w:r>
              <w:rPr>
                <w:rFonts w:ascii="Calibri" w:hAnsi="Calibri"/>
                <w:b/>
                <w:color w:val="1A3A6E"/>
                <w:sz w:val="18"/>
              </w:rPr>
              <w:t>Organización Objeto de Estudio:</w:t>
            </w:r>
          </w:p>
        </w:tc>
        <w:tc>
          <w:tcPr>
            <w:tcW w:type="dxa" w:w="5760"/>
            <w:shd w:fill="FFFFFF"/>
            <w:tcMar>
              <w:top w:w="100" w:type="dxa"/>
              <w:bottom w:w="100" w:type="dxa"/>
              <w:left w:w="180" w:type="dxa"/>
              <w:right w:w="180" w:type="dxa"/>
            </w:tcMar>
            <w:vAlign w:val="center"/>
          </w:tcPr>
          <w:p>
            <w:r>
              <w:rPr>
                <w:rFonts w:ascii="Calibri" w:hAnsi="Calibri"/>
                <w:b/>
                <w:color w:val="212529"/>
                <w:sz w:val="18"/>
              </w:rPr>
              <w:t>Imaxpcsystem, S.L. (Marca comercial: IMAX PC)</w:t>
            </w:r>
          </w:p>
        </w:tc>
      </w:tr>
      <w:tr>
        <w:tc>
          <w:tcPr>
            <w:tcW w:type="dxa" w:w="3168"/>
            <w:shd w:fill="F7F9FC"/>
            <w:tcMar>
              <w:top w:w="100" w:type="dxa"/>
              <w:bottom w:w="100" w:type="dxa"/>
              <w:left w:w="180" w:type="dxa"/>
              <w:right w:w="180" w:type="dxa"/>
            </w:tcMar>
            <w:vAlign w:val="center"/>
          </w:tcPr>
          <w:p>
            <w:r>
              <w:rPr>
                <w:rFonts w:ascii="Calibri" w:hAnsi="Calibri"/>
                <w:b/>
                <w:color w:val="1A3A6E"/>
                <w:sz w:val="18"/>
              </w:rPr>
              <w:t>Sede Principal e Instalaciones:</w:t>
            </w:r>
          </w:p>
        </w:tc>
        <w:tc>
          <w:tcPr>
            <w:tcW w:type="dxa" w:w="5760"/>
            <w:shd w:fill="F7F9FC"/>
            <w:tcMar>
              <w:top w:w="100" w:type="dxa"/>
              <w:bottom w:w="100" w:type="dxa"/>
              <w:left w:w="180" w:type="dxa"/>
              <w:right w:w="180" w:type="dxa"/>
            </w:tcMar>
            <w:vAlign w:val="center"/>
          </w:tcPr>
          <w:p>
            <w:r>
              <w:rPr>
                <w:rFonts w:ascii="Calibri" w:hAnsi="Calibri"/>
                <w:color w:val="212529"/>
                <w:sz w:val="18"/>
              </w:rPr>
              <w:t>Calle de Ardemans, 35, Barrio de Salamanca, 28028 Madrid</w:t>
            </w:r>
          </w:p>
        </w:tc>
      </w:tr>
      <w:tr>
        <w:tc>
          <w:tcPr>
            <w:tcW w:type="dxa" w:w="3168"/>
            <w:shd w:fill="FFFFFF"/>
            <w:tcMar>
              <w:top w:w="100" w:type="dxa"/>
              <w:bottom w:w="100" w:type="dxa"/>
              <w:left w:w="180" w:type="dxa"/>
              <w:right w:w="180" w:type="dxa"/>
            </w:tcMar>
            <w:vAlign w:val="center"/>
          </w:tcPr>
          <w:p>
            <w:r>
              <w:rPr>
                <w:rFonts w:ascii="Calibri" w:hAnsi="Calibri"/>
                <w:b/>
                <w:color w:val="1A3A6E"/>
                <w:sz w:val="18"/>
              </w:rPr>
              <w:t>Sector y Actividad Principal:</w:t>
            </w:r>
          </w:p>
        </w:tc>
        <w:tc>
          <w:tcPr>
            <w:tcW w:type="dxa" w:w="5760"/>
            <w:shd w:fill="FFFFFF"/>
            <w:tcMar>
              <w:top w:w="100" w:type="dxa"/>
              <w:bottom w:w="100" w:type="dxa"/>
              <w:left w:w="180" w:type="dxa"/>
              <w:right w:w="180" w:type="dxa"/>
            </w:tcMar>
            <w:vAlign w:val="center"/>
          </w:tcPr>
          <w:p>
            <w:r>
              <w:rPr>
                <w:rFonts w:ascii="Calibri" w:hAnsi="Calibri"/>
                <w:color w:val="212529"/>
                <w:sz w:val="18"/>
              </w:rPr>
              <w:t>Servicios IT Gestionados, Mantenimiento Corporativo, Venta y SAT Oficial</w:t>
            </w:r>
          </w:p>
        </w:tc>
      </w:tr>
      <w:tr>
        <w:tc>
          <w:tcPr>
            <w:tcW w:type="dxa" w:w="3168"/>
            <w:shd w:fill="F7F9FC"/>
            <w:tcMar>
              <w:top w:w="100" w:type="dxa"/>
              <w:bottom w:w="100" w:type="dxa"/>
              <w:left w:w="180" w:type="dxa"/>
              <w:right w:w="180" w:type="dxa"/>
            </w:tcMar>
            <w:vAlign w:val="center"/>
          </w:tcPr>
          <w:p>
            <w:r>
              <w:rPr>
                <w:rFonts w:ascii="Calibri" w:hAnsi="Calibri"/>
                <w:b/>
                <w:color w:val="1A3A6E"/>
                <w:sz w:val="18"/>
              </w:rPr>
              <w:t>Autor / Equipo Consultor:</w:t>
            </w:r>
          </w:p>
        </w:tc>
        <w:tc>
          <w:tcPr>
            <w:tcW w:type="dxa" w:w="5760"/>
            <w:shd w:fill="F7F9FC"/>
            <w:tcMar>
              <w:top w:w="100" w:type="dxa"/>
              <w:bottom w:w="100" w:type="dxa"/>
              <w:left w:w="180" w:type="dxa"/>
              <w:right w:w="180" w:type="dxa"/>
            </w:tcMar>
            <w:vAlign w:val="center"/>
          </w:tcPr>
          <w:p>
            <w:r>
              <w:rPr>
                <w:rFonts w:ascii="Calibri" w:hAnsi="Calibri"/>
                <w:color w:val="212529"/>
                <w:sz w:val="18"/>
              </w:rPr>
              <w:t>Dirección de Consultoría Estratégica en Sistemas de Información y Procesos</w:t>
            </w:r>
          </w:p>
        </w:tc>
      </w:tr>
      <w:tr>
        <w:tc>
          <w:tcPr>
            <w:tcW w:type="dxa" w:w="3168"/>
            <w:shd w:fill="FFFFFF"/>
            <w:tcMar>
              <w:top w:w="100" w:type="dxa"/>
              <w:bottom w:w="100" w:type="dxa"/>
              <w:left w:w="180" w:type="dxa"/>
              <w:right w:w="180" w:type="dxa"/>
            </w:tcMar>
            <w:vAlign w:val="center"/>
          </w:tcPr>
          <w:p>
            <w:r>
              <w:rPr>
                <w:rFonts w:ascii="Calibri" w:hAnsi="Calibri"/>
                <w:b/>
                <w:color w:val="1A3A6E"/>
                <w:sz w:val="18"/>
              </w:rPr>
              <w:t>Fecha de Elaboración:</w:t>
            </w:r>
          </w:p>
        </w:tc>
        <w:tc>
          <w:tcPr>
            <w:tcW w:type="dxa" w:w="5760"/>
            <w:shd w:fill="FFFFFF"/>
            <w:tcMar>
              <w:top w:w="100" w:type="dxa"/>
              <w:bottom w:w="100" w:type="dxa"/>
              <w:left w:w="180" w:type="dxa"/>
              <w:right w:w="180" w:type="dxa"/>
            </w:tcMar>
            <w:vAlign w:val="center"/>
          </w:tcPr>
          <w:p>
            <w:r>
              <w:rPr>
                <w:rFonts w:ascii="Calibri" w:hAnsi="Calibri"/>
                <w:color w:val="212529"/>
                <w:sz w:val="18"/>
              </w:rPr>
              <w:t>Septiembre 2026</w:t>
            </w:r>
          </w:p>
        </w:tc>
      </w:tr>
      <w:tr>
        <w:tc>
          <w:tcPr>
            <w:tcW w:type="dxa" w:w="3168"/>
            <w:shd w:fill="F7F9FC"/>
            <w:tcMar>
              <w:top w:w="100" w:type="dxa"/>
              <w:bottom w:w="100" w:type="dxa"/>
              <w:left w:w="180" w:type="dxa"/>
              <w:right w:w="180" w:type="dxa"/>
            </w:tcMar>
            <w:vAlign w:val="center"/>
          </w:tcPr>
          <w:p>
            <w:r>
              <w:rPr>
                <w:rFonts w:ascii="Calibri" w:hAnsi="Calibri"/>
                <w:b/>
                <w:color w:val="1A3A6E"/>
                <w:sz w:val="18"/>
              </w:rPr>
              <w:t>Estado y Versión del Documento:</w:t>
            </w:r>
          </w:p>
        </w:tc>
        <w:tc>
          <w:tcPr>
            <w:tcW w:type="dxa" w:w="5760"/>
            <w:shd w:fill="F7F9FC"/>
            <w:tcMar>
              <w:top w:w="100" w:type="dxa"/>
              <w:bottom w:w="100" w:type="dxa"/>
              <w:left w:w="180" w:type="dxa"/>
              <w:right w:w="180" w:type="dxa"/>
            </w:tcMar>
            <w:vAlign w:val="center"/>
          </w:tcPr>
          <w:p>
            <w:r>
              <w:rPr>
                <w:rFonts w:ascii="Calibri" w:hAnsi="Calibri"/>
                <w:color w:val="212529"/>
                <w:sz w:val="18"/>
              </w:rPr>
              <w:t>Versión 1.0 - Dictamen y Especificación Definitiva</w:t>
            </w:r>
          </w:p>
        </w:tc>
      </w:tr>
    </w:tbl>
    <w:p>
      <w:r>
        <w:br w:type="page"/>
      </w:r>
    </w:p>
    <w:p>
      <w:pPr>
        <w:keepNext/>
        <w:spacing w:before="440" w:after="160"/>
      </w:pPr>
      <w:r>
        <w:rPr>
          <w:rFonts w:ascii="Calibri" w:hAnsi="Calibri"/>
          <w:b/>
          <w:color w:val="1A3A6E"/>
          <w:sz w:val="34"/>
        </w:rPr>
        <w:t>ÍNDICE GENERAL DEL DOCUMENTO</w:t>
      </w:r>
    </w:p>
    <w:p>
      <w:pPr>
        <w:pStyle w:val="ListBullet"/>
        <w:spacing w:before="0" w:after="80" w:line="276" w:lineRule="auto"/>
      </w:pPr>
      <w:r>
        <w:rPr>
          <w:rFonts w:ascii="Calibri" w:hAnsi="Calibri"/>
          <w:color w:val="212529"/>
          <w:sz w:val="20"/>
        </w:rPr>
        <w:t>1. RESUMEN EJECUTIVO (EXECUTIVE SUMMARY)</w:t>
      </w:r>
    </w:p>
    <w:p>
      <w:pPr>
        <w:pStyle w:val="ListBullet"/>
        <w:spacing w:before="0" w:after="80" w:line="276" w:lineRule="auto"/>
      </w:pPr>
      <w:r>
        <w:rPr>
          <w:rFonts w:ascii="Calibri" w:hAnsi="Calibri"/>
          <w:color w:val="212529"/>
          <w:sz w:val="20"/>
        </w:rPr>
        <w:t>2. CONTEXTO INSTITUCIONAL Y PERFIL CORPORATIVO DE IMAX PC</w:t>
      </w:r>
    </w:p>
    <w:p>
      <w:pPr>
        <w:pStyle w:val="ListBullet"/>
        <w:spacing w:before="0" w:after="80" w:line="276" w:lineRule="auto"/>
      </w:pPr>
      <w:r>
        <w:rPr>
          <w:rFonts w:ascii="Calibri" w:hAnsi="Calibri"/>
          <w:color w:val="212529"/>
          <w:sz w:val="20"/>
        </w:rPr>
        <w:t>3. CARACTERIZACIÓN EXHAUSTIVA DE LA OFERTA Y SERVICIOS ACTUALES</w:t>
      </w:r>
    </w:p>
    <w:p>
      <w:pPr>
        <w:pStyle w:val="ListBullet"/>
        <w:spacing w:before="0" w:after="80" w:line="276" w:lineRule="auto"/>
      </w:pPr>
      <w:r>
        <w:rPr>
          <w:rFonts w:ascii="Calibri" w:hAnsi="Calibri"/>
          <w:color w:val="212529"/>
          <w:sz w:val="20"/>
        </w:rPr>
        <w:t>4. DIAGNÓSTICO OPERATIVO ACTUAL ('AS-IS') Y NECESIDAD DE TRANSFORMACIÓN</w:t>
      </w:r>
    </w:p>
    <w:p>
      <w:pPr>
        <w:pStyle w:val="ListBullet"/>
        <w:spacing w:before="0" w:after="80" w:line="276" w:lineRule="auto"/>
      </w:pPr>
      <w:r>
        <w:rPr>
          <w:rFonts w:ascii="Calibri" w:hAnsi="Calibri"/>
          <w:color w:val="212529"/>
          <w:sz w:val="20"/>
        </w:rPr>
        <w:t>5. VISIÓN DEL MODELO OBJETIVO ('TO-BE') Y ARQUITECTURA DE INFORMACIÓN</w:t>
      </w:r>
    </w:p>
    <w:p>
      <w:pPr>
        <w:pStyle w:val="ListBullet"/>
        <w:spacing w:before="0" w:after="80" w:line="276" w:lineRule="auto"/>
      </w:pPr>
      <w:r>
        <w:rPr>
          <w:rFonts w:ascii="Calibri" w:hAnsi="Calibri"/>
          <w:color w:val="212529"/>
          <w:sz w:val="20"/>
        </w:rPr>
        <w:t>6. ESPECIFICACIÓN FUNCIONAL DEL ECOSISTEMA ERP / CRM</w:t>
      </w:r>
    </w:p>
    <w:p>
      <w:pPr>
        <w:pStyle w:val="ListBullet"/>
        <w:spacing w:before="0" w:after="80" w:line="276" w:lineRule="auto"/>
      </w:pPr>
      <w:r>
        <w:rPr>
          <w:rFonts w:ascii="Calibri" w:hAnsi="Calibri"/>
          <w:color w:val="212529"/>
          <w:sz w:val="20"/>
        </w:rPr>
        <w:t xml:space="preserve">   6.1. Módulo 1: CRM Comercial, Pipeline de Ventas y Fidelización</w:t>
      </w:r>
    </w:p>
    <w:p>
      <w:pPr>
        <w:pStyle w:val="ListBullet"/>
        <w:spacing w:before="0" w:after="80" w:line="276" w:lineRule="auto"/>
      </w:pPr>
      <w:r>
        <w:rPr>
          <w:rFonts w:ascii="Calibri" w:hAnsi="Calibri"/>
          <w:color w:val="212529"/>
          <w:sz w:val="20"/>
        </w:rPr>
        <w:t xml:space="preserve">   6.2. Módulo 2: Servicio de Asistencia Técnica (SAT), Taller y Ticketing</w:t>
      </w:r>
    </w:p>
    <w:p>
      <w:pPr>
        <w:pStyle w:val="ListBullet"/>
        <w:spacing w:before="0" w:after="80" w:line="276" w:lineRule="auto"/>
      </w:pPr>
      <w:r>
        <w:rPr>
          <w:rFonts w:ascii="Calibri" w:hAnsi="Calibri"/>
          <w:color w:val="212529"/>
          <w:sz w:val="20"/>
        </w:rPr>
        <w:t xml:space="preserve">   6.3. Módulo 3: Compras, Inventario (WMS), Trazabilidad y Gestión de Garantías RMA</w:t>
      </w:r>
    </w:p>
    <w:p>
      <w:pPr>
        <w:pStyle w:val="ListBullet"/>
        <w:spacing w:before="0" w:after="80" w:line="276" w:lineRule="auto"/>
      </w:pPr>
      <w:r>
        <w:rPr>
          <w:rFonts w:ascii="Calibri" w:hAnsi="Calibri"/>
          <w:color w:val="212529"/>
          <w:sz w:val="20"/>
        </w:rPr>
        <w:t xml:space="preserve">   6.4. Módulo 4: Gestión de Sistemas de Impresión y Facturación por Copia (Pago por Uso)</w:t>
      </w:r>
    </w:p>
    <w:p>
      <w:pPr>
        <w:pStyle w:val="ListBullet"/>
        <w:spacing w:before="0" w:after="80" w:line="276" w:lineRule="auto"/>
      </w:pPr>
      <w:r>
        <w:rPr>
          <w:rFonts w:ascii="Calibri" w:hAnsi="Calibri"/>
          <w:color w:val="212529"/>
          <w:sz w:val="20"/>
        </w:rPr>
        <w:t xml:space="preserve">   6.5. Módulo 5: Facturación Recurrente, Contratos de Mantenimiento y Cobros</w:t>
      </w:r>
    </w:p>
    <w:p>
      <w:pPr>
        <w:pStyle w:val="ListBullet"/>
        <w:spacing w:before="0" w:after="80" w:line="276" w:lineRule="auto"/>
      </w:pPr>
      <w:r>
        <w:rPr>
          <w:rFonts w:ascii="Calibri" w:hAnsi="Calibri"/>
          <w:color w:val="212529"/>
          <w:sz w:val="20"/>
        </w:rPr>
        <w:t xml:space="preserve">   6.6. Módulo 6: Aprovisionamiento y Control de Suscripciones Cloud Microsoft</w:t>
      </w:r>
    </w:p>
    <w:p>
      <w:pPr>
        <w:pStyle w:val="ListBullet"/>
        <w:spacing w:before="0" w:after="80" w:line="276" w:lineRule="auto"/>
      </w:pPr>
      <w:r>
        <w:rPr>
          <w:rFonts w:ascii="Calibri" w:hAnsi="Calibri"/>
          <w:color w:val="212529"/>
          <w:sz w:val="20"/>
        </w:rPr>
        <w:t xml:space="preserve">   6.7. Módulo 7: Business Intelligence, Analítica Avanzada y Cuadros de Mando (KPIs)</w:t>
      </w:r>
    </w:p>
    <w:p>
      <w:pPr>
        <w:pStyle w:val="ListBullet"/>
        <w:spacing w:before="0" w:after="80" w:line="276" w:lineRule="auto"/>
      </w:pPr>
      <w:r>
        <w:rPr>
          <w:rFonts w:ascii="Calibri" w:hAnsi="Calibri"/>
          <w:color w:val="212529"/>
          <w:sz w:val="20"/>
        </w:rPr>
        <w:t>7. REQUERIMIENTOS NO FUNCIONALES, SEGURIDAD Y ARQUITECTURA TÉCNICA</w:t>
      </w:r>
    </w:p>
    <w:p>
      <w:pPr>
        <w:pStyle w:val="ListBullet"/>
        <w:spacing w:before="0" w:after="80" w:line="276" w:lineRule="auto"/>
      </w:pPr>
      <w:r>
        <w:rPr>
          <w:rFonts w:ascii="Calibri" w:hAnsi="Calibri"/>
          <w:color w:val="212529"/>
          <w:sz w:val="20"/>
        </w:rPr>
        <w:t>8. PLAN DE IMPLANTACIÓN, GESTIÓN DEL CAMBIO Y HOJA DE RUTA (ROADMAP)</w:t>
      </w:r>
    </w:p>
    <w:p>
      <w:pPr>
        <w:pStyle w:val="ListBullet"/>
        <w:spacing w:before="0" w:after="80" w:line="276" w:lineRule="auto"/>
      </w:pPr>
      <w:r>
        <w:rPr>
          <w:rFonts w:ascii="Calibri" w:hAnsi="Calibri"/>
          <w:color w:val="212529"/>
          <w:sz w:val="20"/>
        </w:rPr>
        <w:t>9. ESTUDIO DE VIABILIDAD ECONÓMICA Y ESTIMACIÓN DEL RETORNO DE INVERSIÓN (ROI)</w:t>
      </w:r>
    </w:p>
    <w:p>
      <w:pPr>
        <w:pStyle w:val="ListBullet"/>
        <w:spacing w:before="0" w:after="80" w:line="276" w:lineRule="auto"/>
      </w:pPr>
      <w:r>
        <w:rPr>
          <w:rFonts w:ascii="Calibri" w:hAnsi="Calibri"/>
          <w:color w:val="212529"/>
          <w:sz w:val="20"/>
        </w:rPr>
        <w:t>10. ANEXO: MATRIZ DE REQUISITOS Y GLOSARIO TÉCNICO EMPRESARIAL</w:t>
      </w:r>
    </w:p>
    <w:p>
      <w:r>
        <w:br w:type="page"/>
      </w:r>
    </w:p>
    <w:p>
      <w:pPr>
        <w:keepNext/>
        <w:spacing w:before="440" w:after="160"/>
      </w:pPr>
      <w:r>
        <w:rPr>
          <w:rFonts w:ascii="Calibri" w:hAnsi="Calibri"/>
          <w:b/>
          <w:color w:val="1A3A6E"/>
          <w:sz w:val="34"/>
        </w:rPr>
        <w:t>1. RESUMEN EJECUTIVO (EXECUTIVE SUMMARY)</w:t>
      </w:r>
    </w:p>
    <w:p>
      <w:pPr>
        <w:spacing w:before="0" w:after="120" w:line="276" w:lineRule="auto"/>
      </w:pPr>
      <w:r>
        <w:rPr>
          <w:rFonts w:ascii="Calibri" w:hAnsi="Calibri"/>
          <w:b/>
          <w:color w:val="212529"/>
          <w:sz w:val="20"/>
        </w:rPr>
        <w:t xml:space="preserve">Contexto del Estudio: </w:t>
      </w:r>
      <w:r>
        <w:rPr>
          <w:rFonts w:ascii="Calibri" w:hAnsi="Calibri"/>
          <w:color w:val="212529"/>
          <w:sz w:val="20"/>
        </w:rPr>
        <w:t xml:space="preserve">El presente informe constituye el estudio formal de diagnóstico empresarial, reingeniería de procesos e informatización integral realizado para </w:t>
      </w:r>
      <w:r>
        <w:t>Imaxpcsystem, S.L. (en adelante, IMAX PC). Como resultado de su continuada expansión en el mercado corporativo de la Comunidad de Madrid y a nivel nacional, la empresa gestiona simultáneamente múltiples líneas de actividad de alta complejidad: contratos de mantenimiento preventivo, predictivo y correctivo con más de 200 clientes empresariales abonados; un taller físico de montaje y reparación express de hardware; distribución autorizada y servicio técnico oficial de sistemas de impresión Brother y HP; contratos de coste por copia / pago por uso; consultoría de ciberseguridad y soluciones cloud (Microsoft 365, Copilot, Defender, Purview y Fabric); así como automatizaciones de software a medida.</w:t>
      </w:r>
    </w:p>
    <w:tbl>
      <w:tblPr>
        <w:tblW w:type="auto" w:w="0"/>
        <w:jc w:val="center"/>
        <w:tblLayout w:type="fixed"/>
        <w:tblLook w:firstColumn="1" w:firstRow="1" w:lastColumn="0" w:lastRow="0" w:noHBand="0" w:noVBand="1" w:val="04A0"/>
      </w:tblPr>
      <w:tblGrid>
        <w:gridCol w:w="9029"/>
      </w:tblGrid>
      <w:tr>
        <w:tc>
          <w:tcPr>
            <w:tcW w:type="dxa" w:w="9029"/>
            <w:shd w:fill="F0F4F8"/>
            <w:tcBorders>
              <w:left w:val="single" w:sz="36" w:space="0" w:color="4DB7E3"/>
              <w:top w:val="none"/>
              <w:right w:val="none"/>
              <w:bottom w:val="none"/>
            </w:tcBorders>
            <w:tcMar>
              <w:top w:w="140" w:type="dxa"/>
              <w:bottom w:w="140" w:type="dxa"/>
              <w:left w:w="200" w:type="dxa"/>
              <w:right w:w="180" w:type="dxa"/>
            </w:tcMar>
          </w:tcPr>
          <w:p>
            <w:pPr>
              <w:spacing w:before="80" w:after="80" w:line="276" w:lineRule="auto"/>
            </w:pPr>
            <w:r>
              <w:rPr>
                <w:rFonts w:ascii="Calibri" w:hAnsi="Calibri"/>
                <w:b/>
                <w:color w:val="1A3A6E"/>
                <w:sz w:val="21"/>
              </w:rPr>
              <w:t>Conclusión Clave del Diagnóstico de Consultoría:</w:t>
              <w:br/>
            </w:r>
            <w:r>
              <w:rPr>
                <w:rFonts w:ascii="Calibri" w:hAnsi="Calibri"/>
                <w:color w:val="212529"/>
                <w:sz w:val="19"/>
              </w:rPr>
              <w:t>"La desconexión operativa entre la captación comercial web, la recepción física de ordenadores en taller, el seguimiento de consumibles en pago por uso, la resolución de tickets de soporte remoto y la facturación recurrente genera cuellos de botella críticos que limitan el crecimiento escalable. La implantación de un sistema ERP/CRM centralizado permitirá unificar la información en tiempo real, reducir un 65% las tareas manuales y blindar la calidad de servicio que diferencia a IMAX PC."</w:t>
            </w:r>
          </w:p>
        </w:tc>
      </w:tr>
    </w:tbl>
    <w:p/>
    <w:p>
      <w:pPr>
        <w:keepNext/>
        <w:spacing w:before="320" w:after="120"/>
      </w:pPr>
      <w:r>
        <w:rPr>
          <w:rFonts w:ascii="Calibri" w:hAnsi="Calibri"/>
          <w:b/>
          <w:color w:val="4DB7E3"/>
          <w:sz w:val="26"/>
        </w:rPr>
        <w:t>1.1. Principales Hallazgos del Diagnóstico</w:t>
      </w:r>
    </w:p>
    <w:p>
      <w:pPr>
        <w:pStyle w:val="ListBullet"/>
        <w:spacing w:before="0" w:after="80" w:line="276" w:lineRule="auto"/>
      </w:pPr>
      <w:r>
        <w:rPr>
          <w:rFonts w:ascii="Calibri" w:hAnsi="Calibri"/>
          <w:b/>
          <w:color w:val="212529"/>
          <w:sz w:val="20"/>
        </w:rPr>
        <w:t xml:space="preserve">Fragmentación de la Información: </w:t>
      </w:r>
      <w:r>
        <w:rPr>
          <w:rFonts w:ascii="Calibri" w:hAnsi="Calibri"/>
          <w:color w:val="212529"/>
          <w:sz w:val="20"/>
        </w:rPr>
        <w:t xml:space="preserve"> La operativa diaria se apoya en herramientas independientes (contabilidad aislada, hojas de cálculo para control de reparaciones y stock, correos electrónicos para seguimiento de soporte y registros físicos de taller), lo que provoca duplicidad de esfuerzos y riesgo de inconsistencia de datos.</w:t>
      </w:r>
    </w:p>
    <w:p>
      <w:pPr>
        <w:pStyle w:val="ListBullet"/>
        <w:spacing w:before="0" w:after="80" w:line="276" w:lineRule="auto"/>
      </w:pPr>
      <w:r>
        <w:rPr>
          <w:rFonts w:ascii="Calibri" w:hAnsi="Calibri"/>
          <w:b/>
          <w:color w:val="212529"/>
          <w:sz w:val="20"/>
        </w:rPr>
        <w:t xml:space="preserve">Procesos con Carga Manual: </w:t>
      </w:r>
      <w:r>
        <w:rPr>
          <w:rFonts w:ascii="Calibri" w:hAnsi="Calibri"/>
          <w:color w:val="212529"/>
          <w:sz w:val="20"/>
        </w:rPr>
        <w:t xml:space="preserve"> La gestión de contadores de impresión para clientes de pago por uso y la asignación manual de técnicos según SLAs de 15 minutos en urgencias consumen un excesivo tiempo de gestión administrativa.</w:t>
      </w:r>
    </w:p>
    <w:p>
      <w:pPr>
        <w:pStyle w:val="ListBullet"/>
        <w:spacing w:before="0" w:after="80" w:line="276" w:lineRule="auto"/>
      </w:pPr>
      <w:r>
        <w:rPr>
          <w:rFonts w:ascii="Calibri" w:hAnsi="Calibri"/>
          <w:b/>
          <w:color w:val="212529"/>
          <w:sz w:val="20"/>
        </w:rPr>
        <w:t xml:space="preserve">Desconexión entre el Front-end Web y el Back-office: </w:t>
      </w:r>
      <w:r>
        <w:rPr>
          <w:rFonts w:ascii="Calibri" w:hAnsi="Calibri"/>
          <w:color w:val="212529"/>
          <w:sz w:val="20"/>
        </w:rPr>
        <w:t xml:space="preserve"> A pesar de que la web corporativa moderna (desarrollada en Vue 3) capta activamente solicitudes de auditoría gratuita, presupuestos de ordenadores y consultas de licenciamiento Microsoft, estos leads no ingresan de forma automática a un flujo comercial estructurado con recordatorios y conversión medible.</w:t>
      </w:r>
    </w:p>
    <w:p>
      <w:pPr>
        <w:pStyle w:val="ListBullet"/>
        <w:spacing w:before="0" w:after="80" w:line="276" w:lineRule="auto"/>
      </w:pPr>
      <w:r>
        <w:rPr>
          <w:rFonts w:ascii="Calibri" w:hAnsi="Calibri"/>
          <w:b/>
          <w:color w:val="212529"/>
          <w:sz w:val="20"/>
        </w:rPr>
        <w:t xml:space="preserve">Riesgo de Trazabilidad en Garantías: </w:t>
      </w:r>
      <w:r>
        <w:rPr>
          <w:rFonts w:ascii="Calibri" w:hAnsi="Calibri"/>
          <w:color w:val="212529"/>
          <w:sz w:val="20"/>
        </w:rPr>
        <w:t xml:space="preserve"> La rigurosa política legal y de devoluciones (satisfacción de 14 días, transporte &lt;24h y garantías de 2 años en particulares / 1 año en empresas) requiere un sistema automatizado de RMA y seguimiento de números de serie que proteja los márgenes comerciales.</w:t>
      </w:r>
    </w:p>
    <w:p>
      <w:pPr>
        <w:keepNext/>
        <w:spacing w:before="320" w:after="120"/>
      </w:pPr>
      <w:r>
        <w:rPr>
          <w:rFonts w:ascii="Calibri" w:hAnsi="Calibri"/>
          <w:b/>
          <w:color w:val="4DB7E3"/>
          <w:sz w:val="26"/>
        </w:rPr>
        <w:t>1.2. Visión de la Solución Propuesta (Ecosistema ERP/CRM)</w:t>
      </w:r>
    </w:p>
    <w:p>
      <w:pPr>
        <w:spacing w:before="0" w:after="120" w:line="276" w:lineRule="auto"/>
      </w:pPr>
      <w:r>
        <w:rPr>
          <w:rFonts w:ascii="Calibri" w:hAnsi="Calibri"/>
          <w:color w:val="212529"/>
          <w:sz w:val="20"/>
        </w:rPr>
        <w:t>Se plantea la implantación de una solución ERP/CRM moderna, modular y basada en la nube (Cloud SaaS / Híbrida), con capacidad de integración bidireccional mediante APIs REST con la plataforma web corporativa, el entorno de Microsoft 365, la pasarela bancaria Redsys y las agencias de mensajería logística. La solución integrará 7 módulos nucleares: Gestión Comercial (CRM), Servicio de Asistencia Técnica (SAT / Ticketing), Gestión de Inventario y Cadena de Suministro (WMS / RMA), Gestión de Contratos de Impresión (Pago por Uso), Facturación Recurrente y Finanzas, Aprovisionamiento de Licencias Cloud, y Analítica de Negocio (Business Intelligence).</w:t>
      </w:r>
    </w:p>
    <w:p>
      <w:pPr>
        <w:keepNext/>
        <w:spacing w:before="320" w:after="120"/>
      </w:pPr>
      <w:r>
        <w:rPr>
          <w:rFonts w:ascii="Calibri" w:hAnsi="Calibri"/>
          <w:b/>
          <w:color w:val="4DB7E3"/>
          <w:sz w:val="26"/>
        </w:rPr>
        <w:t>1.3. Cuadro Resumen de Indicadores Clave de Impacto (KPIs)</w:t>
      </w:r>
    </w:p>
    <w:tbl>
      <w:tblPr>
        <w:tblW w:type="auto" w:w="0"/>
        <w:tblLook w:firstColumn="1" w:firstRow="1" w:lastColumn="0" w:lastRow="0" w:noHBand="0" w:noVBand="1" w:val="04A0"/>
      </w:tblPr>
      <w:tblGrid>
        <w:gridCol w:w="3010"/>
        <w:gridCol w:w="3010"/>
        <w:gridCol w:w="3010"/>
      </w:tblGrid>
      <w:tr>
        <w:tc>
          <w:tcPr>
            <w:tcW w:type="dxa" w:w="3600"/>
            <w:shd w:fill="1A3A6E"/>
            <w:tcMar>
              <w:top w:w="140" w:type="dxa"/>
              <w:bottom w:w="140" w:type="dxa"/>
              <w:left w:w="180" w:type="dxa"/>
              <w:right w:w="180" w:type="dxa"/>
            </w:tcMar>
            <w:vAlign w:val="center"/>
          </w:tcPr>
          <w:p>
            <w:pPr>
              <w:jc w:val="left"/>
            </w:pPr>
            <w:r>
              <w:t>Área Operativa / Métrica</w:t>
            </w:r>
          </w:p>
        </w:tc>
        <w:tc>
          <w:tcPr>
            <w:tcW w:type="dxa" w:w="2592"/>
            <w:shd w:fill="1A3A6E"/>
            <w:tcMar>
              <w:top w:w="140" w:type="dxa"/>
              <w:bottom w:w="140" w:type="dxa"/>
              <w:left w:w="180" w:type="dxa"/>
              <w:right w:w="180" w:type="dxa"/>
            </w:tcMar>
            <w:vAlign w:val="center"/>
          </w:tcPr>
          <w:p>
            <w:pPr>
              <w:jc w:val="left"/>
            </w:pPr>
            <w:r>
              <w:t>Situación Actual (AS-IS)</w:t>
            </w:r>
          </w:p>
        </w:tc>
        <w:tc>
          <w:tcPr>
            <w:tcW w:type="dxa" w:w="2837"/>
            <w:shd w:fill="1A3A6E"/>
            <w:tcMar>
              <w:top w:w="140" w:type="dxa"/>
              <w:bottom w:w="140" w:type="dxa"/>
              <w:left w:w="180" w:type="dxa"/>
              <w:right w:w="180" w:type="dxa"/>
            </w:tcMar>
            <w:vAlign w:val="center"/>
          </w:tcPr>
          <w:p>
            <w:pPr>
              <w:jc w:val="left"/>
            </w:pPr>
            <w:r>
              <w:t>Objetivo con ERP/CRM (TO-BE)</w:t>
            </w:r>
          </w:p>
        </w:tc>
      </w:tr>
      <w:tr>
        <w:tc>
          <w:tcPr>
            <w:tcW w:type="dxa" w:w="3600"/>
            <w:shd w:fill="FFFFFF"/>
            <w:tcMar>
              <w:top w:w="100" w:type="dxa"/>
              <w:bottom w:w="100" w:type="dxa"/>
              <w:left w:w="180" w:type="dxa"/>
              <w:right w:w="180" w:type="dxa"/>
            </w:tcMar>
            <w:vAlign w:val="center"/>
          </w:tcPr>
          <w:p>
            <w:r>
              <w:rPr>
                <w:rFonts w:ascii="Calibri" w:hAnsi="Calibri"/>
                <w:color w:val="212529"/>
                <w:sz w:val="18"/>
              </w:rPr>
              <w:t>Tiempo de emisión de albarán/orden SAT</w:t>
            </w:r>
          </w:p>
        </w:tc>
        <w:tc>
          <w:tcPr>
            <w:tcW w:type="dxa" w:w="2592"/>
            <w:shd w:fill="FFFFFF"/>
            <w:tcMar>
              <w:top w:w="100" w:type="dxa"/>
              <w:bottom w:w="100" w:type="dxa"/>
              <w:left w:w="180" w:type="dxa"/>
              <w:right w:w="180" w:type="dxa"/>
            </w:tcMar>
            <w:vAlign w:val="center"/>
          </w:tcPr>
          <w:p>
            <w:r>
              <w:rPr>
                <w:rFonts w:ascii="Calibri" w:hAnsi="Calibri"/>
                <w:color w:val="212529"/>
                <w:sz w:val="18"/>
              </w:rPr>
              <w:t>15 - 25 minutos (manual)</w:t>
            </w:r>
          </w:p>
        </w:tc>
        <w:tc>
          <w:tcPr>
            <w:tcW w:type="dxa" w:w="2837"/>
            <w:shd w:fill="FFFFFF"/>
            <w:tcMar>
              <w:top w:w="100" w:type="dxa"/>
              <w:bottom w:w="100" w:type="dxa"/>
              <w:left w:w="180" w:type="dxa"/>
              <w:right w:w="180" w:type="dxa"/>
            </w:tcMar>
            <w:vAlign w:val="center"/>
          </w:tcPr>
          <w:p>
            <w:r>
              <w:rPr>
                <w:rFonts w:ascii="Calibri" w:hAnsi="Calibri"/>
                <w:color w:val="212529"/>
                <w:sz w:val="18"/>
              </w:rPr>
              <w:t>&lt; 2 minutos (automatizado/QR)</w:t>
            </w:r>
          </w:p>
        </w:tc>
      </w:tr>
      <w:tr>
        <w:tc>
          <w:tcPr>
            <w:tcW w:type="dxa" w:w="3600"/>
            <w:shd w:fill="F7F9FC"/>
            <w:tcMar>
              <w:top w:w="100" w:type="dxa"/>
              <w:bottom w:w="100" w:type="dxa"/>
              <w:left w:w="180" w:type="dxa"/>
              <w:right w:w="180" w:type="dxa"/>
            </w:tcMar>
            <w:vAlign w:val="center"/>
          </w:tcPr>
          <w:p>
            <w:r>
              <w:rPr>
                <w:rFonts w:ascii="Calibri" w:hAnsi="Calibri"/>
                <w:color w:val="212529"/>
                <w:sz w:val="18"/>
              </w:rPr>
              <w:t>Control de inventario y stock crítico</w:t>
            </w:r>
          </w:p>
        </w:tc>
        <w:tc>
          <w:tcPr>
            <w:tcW w:type="dxa" w:w="2592"/>
            <w:shd w:fill="F7F9FC"/>
            <w:tcMar>
              <w:top w:w="100" w:type="dxa"/>
              <w:bottom w:w="100" w:type="dxa"/>
              <w:left w:w="180" w:type="dxa"/>
              <w:right w:w="180" w:type="dxa"/>
            </w:tcMar>
            <w:vAlign w:val="center"/>
          </w:tcPr>
          <w:p>
            <w:r>
              <w:rPr>
                <w:rFonts w:ascii="Calibri" w:hAnsi="Calibri"/>
                <w:color w:val="212529"/>
                <w:sz w:val="18"/>
              </w:rPr>
              <w:t>Revisiones semanales manuales</w:t>
            </w:r>
          </w:p>
        </w:tc>
        <w:tc>
          <w:tcPr>
            <w:tcW w:type="dxa" w:w="2837"/>
            <w:shd w:fill="F7F9FC"/>
            <w:tcMar>
              <w:top w:w="100" w:type="dxa"/>
              <w:bottom w:w="100" w:type="dxa"/>
              <w:left w:w="180" w:type="dxa"/>
              <w:right w:w="180" w:type="dxa"/>
            </w:tcMar>
            <w:vAlign w:val="center"/>
          </w:tcPr>
          <w:p>
            <w:r>
              <w:rPr>
                <w:rFonts w:ascii="Calibri" w:hAnsi="Calibri"/>
                <w:color w:val="212529"/>
                <w:sz w:val="18"/>
              </w:rPr>
              <w:t>Tiempo real con alertas automáticas</w:t>
            </w:r>
          </w:p>
        </w:tc>
      </w:tr>
      <w:tr>
        <w:tc>
          <w:tcPr>
            <w:tcW w:type="dxa" w:w="3600"/>
            <w:shd w:fill="FFFFFF"/>
            <w:tcMar>
              <w:top w:w="100" w:type="dxa"/>
              <w:bottom w:w="100" w:type="dxa"/>
              <w:left w:w="180" w:type="dxa"/>
              <w:right w:w="180" w:type="dxa"/>
            </w:tcMar>
            <w:vAlign w:val="center"/>
          </w:tcPr>
          <w:p>
            <w:r>
              <w:rPr>
                <w:rFonts w:ascii="Calibri" w:hAnsi="Calibri"/>
                <w:color w:val="212529"/>
                <w:sz w:val="18"/>
              </w:rPr>
              <w:t>Facturación mensual de cuotas recurrentes</w:t>
            </w:r>
          </w:p>
        </w:tc>
        <w:tc>
          <w:tcPr>
            <w:tcW w:type="dxa" w:w="2592"/>
            <w:shd w:fill="FFFFFF"/>
            <w:tcMar>
              <w:top w:w="100" w:type="dxa"/>
              <w:bottom w:w="100" w:type="dxa"/>
              <w:left w:w="180" w:type="dxa"/>
              <w:right w:w="180" w:type="dxa"/>
            </w:tcMar>
            <w:vAlign w:val="center"/>
          </w:tcPr>
          <w:p>
            <w:r>
              <w:rPr>
                <w:rFonts w:ascii="Calibri" w:hAnsi="Calibri"/>
                <w:color w:val="212529"/>
                <w:sz w:val="18"/>
              </w:rPr>
              <w:t>3 - 5 días laborables al mes</w:t>
            </w:r>
          </w:p>
        </w:tc>
        <w:tc>
          <w:tcPr>
            <w:tcW w:type="dxa" w:w="2837"/>
            <w:shd w:fill="FFFFFF"/>
            <w:tcMar>
              <w:top w:w="100" w:type="dxa"/>
              <w:bottom w:w="100" w:type="dxa"/>
              <w:left w:w="180" w:type="dxa"/>
              <w:right w:w="180" w:type="dxa"/>
            </w:tcMar>
            <w:vAlign w:val="center"/>
          </w:tcPr>
          <w:p>
            <w:r>
              <w:rPr>
                <w:rFonts w:ascii="Calibri" w:hAnsi="Calibri"/>
                <w:color w:val="212529"/>
                <w:sz w:val="18"/>
              </w:rPr>
              <w:t>1 hora (facturación masiva SEPA)</w:t>
            </w:r>
          </w:p>
        </w:tc>
      </w:tr>
      <w:tr>
        <w:tc>
          <w:tcPr>
            <w:tcW w:type="dxa" w:w="3600"/>
            <w:shd w:fill="F7F9FC"/>
            <w:tcMar>
              <w:top w:w="100" w:type="dxa"/>
              <w:bottom w:w="100" w:type="dxa"/>
              <w:left w:w="180" w:type="dxa"/>
              <w:right w:w="180" w:type="dxa"/>
            </w:tcMar>
            <w:vAlign w:val="center"/>
          </w:tcPr>
          <w:p>
            <w:r>
              <w:rPr>
                <w:rFonts w:ascii="Calibri" w:hAnsi="Calibri"/>
                <w:color w:val="212529"/>
                <w:sz w:val="18"/>
              </w:rPr>
              <w:t>Seguimiento de leads y auditorías web</w:t>
            </w:r>
          </w:p>
        </w:tc>
        <w:tc>
          <w:tcPr>
            <w:tcW w:type="dxa" w:w="2592"/>
            <w:shd w:fill="F7F9FC"/>
            <w:tcMar>
              <w:top w:w="100" w:type="dxa"/>
              <w:bottom w:w="100" w:type="dxa"/>
              <w:left w:w="180" w:type="dxa"/>
              <w:right w:w="180" w:type="dxa"/>
            </w:tcMar>
            <w:vAlign w:val="center"/>
          </w:tcPr>
          <w:p>
            <w:r>
              <w:rPr>
                <w:rFonts w:ascii="Calibri" w:hAnsi="Calibri"/>
                <w:color w:val="212529"/>
                <w:sz w:val="18"/>
              </w:rPr>
              <w:t>Pérdida estimada del 20-30%</w:t>
            </w:r>
          </w:p>
        </w:tc>
        <w:tc>
          <w:tcPr>
            <w:tcW w:type="dxa" w:w="2837"/>
            <w:shd w:fill="F7F9FC"/>
            <w:tcMar>
              <w:top w:w="100" w:type="dxa"/>
              <w:bottom w:w="100" w:type="dxa"/>
              <w:left w:w="180" w:type="dxa"/>
              <w:right w:w="180" w:type="dxa"/>
            </w:tcMar>
            <w:vAlign w:val="center"/>
          </w:tcPr>
          <w:p>
            <w:r>
              <w:rPr>
                <w:rFonts w:ascii="Calibri" w:hAnsi="Calibri"/>
                <w:color w:val="212529"/>
                <w:sz w:val="18"/>
              </w:rPr>
              <w:t>100% trazados con SLA de contacto</w:t>
            </w:r>
          </w:p>
        </w:tc>
      </w:tr>
      <w:tr>
        <w:tc>
          <w:tcPr>
            <w:tcW w:type="dxa" w:w="3600"/>
            <w:shd w:fill="FFFFFF"/>
            <w:tcMar>
              <w:top w:w="100" w:type="dxa"/>
              <w:bottom w:w="100" w:type="dxa"/>
              <w:left w:w="180" w:type="dxa"/>
              <w:right w:w="180" w:type="dxa"/>
            </w:tcMar>
            <w:vAlign w:val="center"/>
          </w:tcPr>
          <w:p>
            <w:r>
              <w:rPr>
                <w:rFonts w:ascii="Calibri" w:hAnsi="Calibri"/>
                <w:color w:val="212529"/>
                <w:sz w:val="18"/>
              </w:rPr>
              <w:t>Liquidación de contratos Pago por Uso</w:t>
            </w:r>
          </w:p>
        </w:tc>
        <w:tc>
          <w:tcPr>
            <w:tcW w:type="dxa" w:w="2592"/>
            <w:shd w:fill="FFFFFF"/>
            <w:tcMar>
              <w:top w:w="100" w:type="dxa"/>
              <w:bottom w:w="100" w:type="dxa"/>
              <w:left w:w="180" w:type="dxa"/>
              <w:right w:w="180" w:type="dxa"/>
            </w:tcMar>
            <w:vAlign w:val="center"/>
          </w:tcPr>
          <w:p>
            <w:r>
              <w:rPr>
                <w:rFonts w:ascii="Calibri" w:hAnsi="Calibri"/>
                <w:color w:val="212529"/>
                <w:sz w:val="18"/>
              </w:rPr>
              <w:t>Cálculo en hojas de cálculo</w:t>
            </w:r>
          </w:p>
        </w:tc>
        <w:tc>
          <w:tcPr>
            <w:tcW w:type="dxa" w:w="2837"/>
            <w:shd w:fill="FFFFFF"/>
            <w:tcMar>
              <w:top w:w="100" w:type="dxa"/>
              <w:bottom w:w="100" w:type="dxa"/>
              <w:left w:w="180" w:type="dxa"/>
              <w:right w:w="180" w:type="dxa"/>
            </w:tcMar>
            <w:vAlign w:val="center"/>
          </w:tcPr>
          <w:p>
            <w:r>
              <w:rPr>
                <w:rFonts w:ascii="Calibri" w:hAnsi="Calibri"/>
                <w:color w:val="212529"/>
                <w:sz w:val="18"/>
              </w:rPr>
              <w:t>Conciliación automática de contadores</w:t>
            </w:r>
          </w:p>
        </w:tc>
      </w:tr>
    </w:tbl>
    <w:p>
      <w:r>
        <w:br w:type="page"/>
      </w:r>
    </w:p>
    <w:p>
      <w:pPr>
        <w:keepNext/>
        <w:spacing w:before="440" w:after="160"/>
      </w:pPr>
      <w:r>
        <w:rPr>
          <w:rFonts w:ascii="Calibri" w:hAnsi="Calibri"/>
          <w:b/>
          <w:color w:val="1A3A6E"/>
          <w:sz w:val="34"/>
        </w:rPr>
        <w:t>2. CONTEXTO INSTITUCIONAL Y PERFIL CORPORATIVO DE IMAX PC</w:t>
      </w:r>
    </w:p>
    <w:p>
      <w:pPr>
        <w:keepNext/>
        <w:spacing w:before="320" w:after="120"/>
      </w:pPr>
      <w:r>
        <w:rPr>
          <w:rFonts w:ascii="Calibri" w:hAnsi="Calibri"/>
          <w:b/>
          <w:color w:val="4DB7E3"/>
          <w:sz w:val="26"/>
        </w:rPr>
        <w:t>2.1. Identidad Corporativa y Razón Social</w:t>
      </w:r>
    </w:p>
    <w:p>
      <w:pPr>
        <w:spacing w:before="0" w:after="120" w:line="276" w:lineRule="auto"/>
      </w:pPr>
      <w:r>
        <w:rPr>
          <w:rFonts w:ascii="Calibri" w:hAnsi="Calibri"/>
          <w:b/>
          <w:color w:val="212529"/>
          <w:sz w:val="20"/>
        </w:rPr>
        <w:t xml:space="preserve">Denominación Legal: </w:t>
      </w:r>
      <w:r>
        <w:rPr>
          <w:rFonts w:ascii="Calibri" w:hAnsi="Calibri"/>
          <w:color w:val="212529"/>
          <w:sz w:val="20"/>
        </w:rPr>
        <w:t xml:space="preserve">La empresa opera mercantilmente bajo la denominación social </w:t>
      </w:r>
      <w:r>
        <w:t>Imaxpcsystem, S.L., con domicilio fiscal y operativo fijado en la Calle de Ardemans, 35, distrito de Salamanca, 28028 Madrid (España). Comercializa sus productos y soluciones bajo las marcas comerciales IMAX PC e IMAX Web.</w:t>
      </w:r>
    </w:p>
    <w:p>
      <w:pPr>
        <w:spacing w:before="0" w:after="120" w:line="276" w:lineRule="auto"/>
      </w:pPr>
      <w:r>
        <w:rPr>
          <w:rFonts w:ascii="Calibri" w:hAnsi="Calibri"/>
          <w:b/>
          <w:color w:val="212529"/>
          <w:sz w:val="20"/>
        </w:rPr>
        <w:t xml:space="preserve">Instalaciones y Ubicación: </w:t>
      </w:r>
      <w:r>
        <w:rPr>
          <w:rFonts w:ascii="Calibri" w:hAnsi="Calibri"/>
          <w:color w:val="212529"/>
          <w:sz w:val="20"/>
        </w:rPr>
        <w:t>Ubicada estratégicamente en una de las zonas de mayor dinamismo empresarial de Madrid, la sede física aúna oficinas de atención al cliente corporativo, taller técnico especializado y almacén logístico de componentes y consumibles. El horario de atención comercial y taller comprende de lunes a viernes, de 09:00 a 14:00 horas en turno matutino, y de 16:00 a 19:00 horas en turno vespertino.</w:t>
      </w:r>
    </w:p>
    <w:p>
      <w:pPr>
        <w:keepNext/>
        <w:spacing w:before="320" w:after="120"/>
      </w:pPr>
      <w:r>
        <w:rPr>
          <w:rFonts w:ascii="Calibri" w:hAnsi="Calibri"/>
          <w:b/>
          <w:color w:val="4DB7E3"/>
          <w:sz w:val="26"/>
        </w:rPr>
        <w:t>2.2. Misión Corporativa</w:t>
      </w:r>
    </w:p>
    <w:tbl>
      <w:tblPr>
        <w:tblW w:type="auto" w:w="0"/>
        <w:jc w:val="center"/>
        <w:tblLayout w:type="fixed"/>
        <w:tblLook w:firstColumn="1" w:firstRow="1" w:lastColumn="0" w:lastRow="0" w:noHBand="0" w:noVBand="1" w:val="04A0"/>
      </w:tblPr>
      <w:tblGrid>
        <w:gridCol w:w="9029"/>
      </w:tblGrid>
      <w:tr>
        <w:tc>
          <w:tcPr>
            <w:tcW w:type="dxa" w:w="9029"/>
            <w:shd w:fill="F0F4F8"/>
            <w:tcBorders>
              <w:left w:val="single" w:sz="36" w:space="0" w:color="4DB7E3"/>
              <w:top w:val="none"/>
              <w:right w:val="none"/>
              <w:bottom w:val="none"/>
            </w:tcBorders>
            <w:tcMar>
              <w:top w:w="140" w:type="dxa"/>
              <w:bottom w:w="140" w:type="dxa"/>
              <w:left w:w="200" w:type="dxa"/>
              <w:right w:w="180" w:type="dxa"/>
            </w:tcMar>
          </w:tcPr>
          <w:p>
            <w:pPr>
              <w:spacing w:before="80" w:after="80" w:line="276" w:lineRule="auto"/>
            </w:pPr>
            <w:r>
              <w:rPr>
                <w:rFonts w:ascii="Calibri" w:hAnsi="Calibri"/>
                <w:b/>
                <w:color w:val="1A3A6E"/>
                <w:sz w:val="21"/>
              </w:rPr>
              <w:t>Declaración de Misión:</w:t>
              <w:br/>
            </w:r>
            <w:r>
              <w:rPr>
                <w:rFonts w:ascii="Calibri" w:hAnsi="Calibri"/>
                <w:color w:val="212529"/>
                <w:sz w:val="19"/>
              </w:rPr>
              <w:t>"En IMAX PC entendemos que la informática debe ser una solución, no un problema. Nuestra misión es proporcionar una cobertura tecnológica integral, proactiva y cercana a empresas, autónomos y particulares, convirtiéndonos en su departamento de sistemas externo de confianza. A través de la excelencia técnica, la atención personalizada y una rigurosa vocación de servicio, velamos por la continuidad de negocio, la seguridad informática y la optimización de costes de cada uno de nuestros clientes."</w:t>
            </w:r>
          </w:p>
        </w:tc>
      </w:tr>
    </w:tbl>
    <w:p/>
    <w:p>
      <w:pPr>
        <w:keepNext/>
        <w:spacing w:before="320" w:after="120"/>
      </w:pPr>
      <w:r>
        <w:rPr>
          <w:rFonts w:ascii="Calibri" w:hAnsi="Calibri"/>
          <w:b/>
          <w:color w:val="4DB7E3"/>
          <w:sz w:val="26"/>
        </w:rPr>
        <w:t>2.3. Visión Estratégica</w:t>
      </w:r>
    </w:p>
    <w:tbl>
      <w:tblPr>
        <w:tblW w:type="auto" w:w="0"/>
        <w:jc w:val="center"/>
        <w:tblLayout w:type="fixed"/>
        <w:tblLook w:firstColumn="1" w:firstRow="1" w:lastColumn="0" w:lastRow="0" w:noHBand="0" w:noVBand="1" w:val="04A0"/>
      </w:tblPr>
      <w:tblGrid>
        <w:gridCol w:w="9029"/>
      </w:tblGrid>
      <w:tr>
        <w:tc>
          <w:tcPr>
            <w:tcW w:type="dxa" w:w="9029"/>
            <w:shd w:fill="F0F4F8"/>
            <w:tcBorders>
              <w:left w:val="single" w:sz="36" w:space="0" w:color="4DB7E3"/>
              <w:top w:val="none"/>
              <w:right w:val="none"/>
              <w:bottom w:val="none"/>
            </w:tcBorders>
            <w:tcMar>
              <w:top w:w="140" w:type="dxa"/>
              <w:bottom w:w="140" w:type="dxa"/>
              <w:left w:w="200" w:type="dxa"/>
              <w:right w:w="180" w:type="dxa"/>
            </w:tcMar>
          </w:tcPr>
          <w:p>
            <w:pPr>
              <w:spacing w:before="80" w:after="80" w:line="276" w:lineRule="auto"/>
            </w:pPr>
            <w:r>
              <w:rPr>
                <w:rFonts w:ascii="Calibri" w:hAnsi="Calibri"/>
                <w:b/>
                <w:color w:val="1A3A6E"/>
                <w:sz w:val="21"/>
              </w:rPr>
              <w:t>Declaración de Visión:</w:t>
              <w:br/>
            </w:r>
            <w:r>
              <w:rPr>
                <w:rFonts w:ascii="Calibri" w:hAnsi="Calibri"/>
                <w:color w:val="212529"/>
                <w:sz w:val="19"/>
              </w:rPr>
              <w:t>"Consolidarnos como el partner tecnológico de referencia líder en la Comunidad de Madrid y a escala nacional para la modernización y digitalización del tejido empresarial de PYMES. Aspiramos a ser el modelo de 'Frontier Firm' tecnológica: una compañía gestionada por personas expertas y operada mediante procesos automatizados e inteligencia artificial, donde la infraestructura tradicional, la computación de alto rendimiento, los servicios oficiales de impresión y la analítica avanzada de datos convergen en una experiencia de servicio sin fisuras."</w:t>
            </w:r>
          </w:p>
        </w:tc>
      </w:tr>
    </w:tbl>
    <w:p/>
    <w:p>
      <w:pPr>
        <w:keepNext/>
        <w:spacing w:before="320" w:after="120"/>
      </w:pPr>
      <w:r>
        <w:rPr>
          <w:rFonts w:ascii="Calibri" w:hAnsi="Calibri"/>
          <w:b/>
          <w:color w:val="4DB7E3"/>
          <w:sz w:val="26"/>
        </w:rPr>
        <w:t>2.4. Valores y Principios Corporativos</w:t>
      </w:r>
    </w:p>
    <w:p>
      <w:pPr>
        <w:pStyle w:val="ListBullet"/>
        <w:spacing w:before="0" w:after="80" w:line="276" w:lineRule="auto"/>
      </w:pPr>
      <w:r>
        <w:rPr>
          <w:rFonts w:ascii="Calibri" w:hAnsi="Calibri"/>
          <w:b/>
          <w:color w:val="212529"/>
          <w:sz w:val="20"/>
        </w:rPr>
        <w:t xml:space="preserve">Calidad y Profesionalidad: </w:t>
      </w:r>
      <w:r>
        <w:rPr>
          <w:rFonts w:ascii="Calibri" w:hAnsi="Calibri"/>
          <w:color w:val="212529"/>
          <w:sz w:val="20"/>
        </w:rPr>
        <w:t xml:space="preserve"> Cada proyecto y reparación se aborda bajo estrictos estándares técnicos, empleando únicamente piezas originales, herramientas homologadas y diagnósticos certificados.</w:t>
      </w:r>
    </w:p>
    <w:p>
      <w:pPr>
        <w:pStyle w:val="ListBullet"/>
        <w:spacing w:before="0" w:after="80" w:line="276" w:lineRule="auto"/>
      </w:pPr>
      <w:r>
        <w:rPr>
          <w:rFonts w:ascii="Calibri" w:hAnsi="Calibri"/>
          <w:b/>
          <w:color w:val="212529"/>
          <w:sz w:val="20"/>
        </w:rPr>
        <w:t xml:space="preserve">Atención Personalizada de Confianza: </w:t>
      </w:r>
      <w:r>
        <w:rPr>
          <w:rFonts w:ascii="Calibri" w:hAnsi="Calibri"/>
          <w:color w:val="212529"/>
          <w:sz w:val="20"/>
        </w:rPr>
        <w:t xml:space="preserve"> Trato directo, individual y transparente. Dedicación de tiempo real a escuchar la casuística de cada negocio sin prisas ni respuestas automatizadas deshumanizadas.</w:t>
      </w:r>
    </w:p>
    <w:p>
      <w:pPr>
        <w:pStyle w:val="ListBullet"/>
        <w:spacing w:before="0" w:after="80" w:line="276" w:lineRule="auto"/>
      </w:pPr>
      <w:r>
        <w:rPr>
          <w:rFonts w:ascii="Calibri" w:hAnsi="Calibri"/>
          <w:b/>
          <w:color w:val="212529"/>
          <w:sz w:val="20"/>
        </w:rPr>
        <w:t xml:space="preserve">Equipos y Soluciones a Medida: </w:t>
      </w:r>
      <w:r>
        <w:rPr>
          <w:rFonts w:ascii="Calibri" w:hAnsi="Calibri"/>
          <w:color w:val="212529"/>
          <w:sz w:val="20"/>
        </w:rPr>
        <w:t xml:space="preserve"> Rechazo de soluciones genéricas empaquetadas. Búsqueda activa del componente, equipo informático, plan de mantenimiento o solución cloud que responde exactamente a las necesidades operativas y presupuestarias del cliente.</w:t>
      </w:r>
    </w:p>
    <w:p>
      <w:pPr>
        <w:pStyle w:val="ListBullet"/>
        <w:spacing w:before="0" w:after="80" w:line="276" w:lineRule="auto"/>
      </w:pPr>
      <w:r>
        <w:rPr>
          <w:rFonts w:ascii="Calibri" w:hAnsi="Calibri"/>
          <w:b/>
          <w:color w:val="212529"/>
          <w:sz w:val="20"/>
        </w:rPr>
        <w:t xml:space="preserve">Soporte Proactivo y Preventivo: </w:t>
      </w:r>
      <w:r>
        <w:rPr>
          <w:rFonts w:ascii="Calibri" w:hAnsi="Calibri"/>
          <w:color w:val="212529"/>
          <w:sz w:val="20"/>
        </w:rPr>
        <w:t xml:space="preserve"> Anticipación sistemática ante el fallo. Monitorización continua y auditorías periódicas para erradicar incidencias antes de que interrumpan la actividad productiva de la empresa.</w:t>
      </w:r>
    </w:p>
    <w:p>
      <w:pPr>
        <w:pStyle w:val="ListBullet"/>
        <w:spacing w:before="0" w:after="80" w:line="276" w:lineRule="auto"/>
      </w:pPr>
      <w:r>
        <w:rPr>
          <w:rFonts w:ascii="Calibri" w:hAnsi="Calibri"/>
          <w:b/>
          <w:color w:val="212529"/>
          <w:sz w:val="20"/>
        </w:rPr>
        <w:t xml:space="preserve">Transparencia y Garantía Certificada: </w:t>
      </w:r>
      <w:r>
        <w:rPr>
          <w:rFonts w:ascii="Calibri" w:hAnsi="Calibri"/>
          <w:color w:val="212529"/>
          <w:sz w:val="20"/>
        </w:rPr>
        <w:t xml:space="preserve"> Cumplimiento riguroso de normativas legales, protección de datos (RGPD/LOPD-GDD), garantía total de satisfacción y compromiso de respuesta ágil en menos de 15 minutos en incidencias críticas.</w:t>
      </w:r>
    </w:p>
    <w:p>
      <w:pPr>
        <w:keepNext/>
        <w:spacing w:before="320" w:after="120"/>
      </w:pPr>
      <w:r>
        <w:rPr>
          <w:rFonts w:ascii="Calibri" w:hAnsi="Calibri"/>
          <w:b/>
          <w:color w:val="4DB7E3"/>
          <w:sz w:val="26"/>
        </w:rPr>
        <w:t>2.5. Estructura Organizativa Funcional</w:t>
      </w:r>
    </w:p>
    <w:p>
      <w:pPr>
        <w:spacing w:before="0" w:after="120" w:line="276" w:lineRule="auto"/>
      </w:pPr>
      <w:r>
        <w:rPr>
          <w:rFonts w:ascii="Calibri" w:hAnsi="Calibri"/>
          <w:color w:val="212529"/>
          <w:sz w:val="20"/>
        </w:rPr>
        <w:t>Para sostener su modelo operativo, IMAX PC cuenta con cuatro áreas funcionales clave que deberán estar totalmente interconectadas por el nuevo sistema ERP/CRM:</w:t>
      </w:r>
    </w:p>
    <w:p>
      <w:pPr>
        <w:pStyle w:val="ListBullet"/>
        <w:spacing w:before="0" w:after="80" w:line="276" w:lineRule="auto"/>
      </w:pPr>
      <w:r>
        <w:rPr>
          <w:rFonts w:ascii="Calibri" w:hAnsi="Calibri"/>
          <w:b/>
          <w:color w:val="212529"/>
          <w:sz w:val="20"/>
        </w:rPr>
        <w:t xml:space="preserve">Dirección Comercial y Relación con Clientes: </w:t>
      </w:r>
      <w:r>
        <w:rPr>
          <w:rFonts w:ascii="Calibri" w:hAnsi="Calibri"/>
          <w:color w:val="212529"/>
          <w:sz w:val="20"/>
        </w:rPr>
        <w:t xml:space="preserve"> Gestión de cuentas B2B, atención al público en taller, elaboración de propuestas comerciales de contratos y auditorías IT gratuitas.</w:t>
      </w:r>
    </w:p>
    <w:p>
      <w:pPr>
        <w:pStyle w:val="ListBullet"/>
        <w:spacing w:before="0" w:after="80" w:line="276" w:lineRule="auto"/>
      </w:pPr>
      <w:r>
        <w:rPr>
          <w:rFonts w:ascii="Calibri" w:hAnsi="Calibri"/>
          <w:b/>
          <w:color w:val="212529"/>
          <w:sz w:val="20"/>
        </w:rPr>
        <w:t xml:space="preserve">Departamento Técnico de Taller y Hardware: </w:t>
      </w:r>
      <w:r>
        <w:rPr>
          <w:rFonts w:ascii="Calibri" w:hAnsi="Calibri"/>
          <w:color w:val="212529"/>
          <w:sz w:val="20"/>
        </w:rPr>
        <w:t xml:space="preserve"> Diagnóstico y reparación express en banco de trabajo, ensamblaje de ordenadores a medida, aplicación de Planes Renove y tramitación de garantías con fabricantes.</w:t>
      </w:r>
    </w:p>
    <w:p>
      <w:pPr>
        <w:pStyle w:val="ListBullet"/>
        <w:spacing w:before="0" w:after="80" w:line="276" w:lineRule="auto"/>
      </w:pPr>
      <w:r>
        <w:rPr>
          <w:rFonts w:ascii="Calibri" w:hAnsi="Calibri"/>
          <w:b/>
          <w:color w:val="212529"/>
          <w:sz w:val="20"/>
        </w:rPr>
        <w:t xml:space="preserve">Departamento de Sistemas y Mantenimiento Corporativo: </w:t>
      </w:r>
      <w:r>
        <w:rPr>
          <w:rFonts w:ascii="Calibri" w:hAnsi="Calibri"/>
          <w:color w:val="212529"/>
          <w:sz w:val="20"/>
        </w:rPr>
        <w:t xml:space="preserve"> Soporte remoto Nivel 1 y Nivel 2, monitorización predictiva 24/7 de servidores/redes/firewalls, visitas periódicas presenciales in-situ e intervenciones de urgencia.</w:t>
      </w:r>
    </w:p>
    <w:p>
      <w:pPr>
        <w:pStyle w:val="ListBullet"/>
        <w:spacing w:before="0" w:after="80" w:line="276" w:lineRule="auto"/>
      </w:pPr>
      <w:r>
        <w:rPr>
          <w:rFonts w:ascii="Calibri" w:hAnsi="Calibri"/>
          <w:b/>
          <w:color w:val="212529"/>
          <w:sz w:val="20"/>
        </w:rPr>
        <w:t xml:space="preserve">Almacén, Logística y Compras: </w:t>
      </w:r>
      <w:r>
        <w:rPr>
          <w:rFonts w:ascii="Calibri" w:hAnsi="Calibri"/>
          <w:color w:val="212529"/>
          <w:sz w:val="20"/>
        </w:rPr>
        <w:t xml:space="preserve"> Recepción de mercancía, control de stock de consumibles Brother/HP, aprovisionamiento de componentes y despacho de pedidos.</w:t>
      </w:r>
    </w:p>
    <w:p>
      <w:pPr>
        <w:pStyle w:val="ListBullet"/>
        <w:spacing w:before="0" w:after="80" w:line="276" w:lineRule="auto"/>
      </w:pPr>
      <w:r>
        <w:rPr>
          <w:rFonts w:ascii="Calibri" w:hAnsi="Calibri"/>
          <w:b/>
          <w:color w:val="212529"/>
          <w:sz w:val="20"/>
        </w:rPr>
        <w:t xml:space="preserve">Administración y Finanzas: </w:t>
      </w:r>
      <w:r>
        <w:rPr>
          <w:rFonts w:ascii="Calibri" w:hAnsi="Calibri"/>
          <w:color w:val="212529"/>
          <w:sz w:val="20"/>
        </w:rPr>
        <w:t xml:space="preserve"> Facturación mensual recurrente, conciliación de pago por uso, gestión de cobros por TPV/Redsys y remesas bancarias, y cumplimiento fiscal.</w:t>
      </w:r>
    </w:p>
    <w:p>
      <w:r>
        <w:br w:type="page"/>
      </w:r>
    </w:p>
    <w:p>
      <w:pPr>
        <w:keepNext/>
        <w:spacing w:before="440" w:after="160"/>
      </w:pPr>
      <w:r>
        <w:rPr>
          <w:rFonts w:ascii="Calibri" w:hAnsi="Calibri"/>
          <w:b/>
          <w:color w:val="1A3A6E"/>
          <w:sz w:val="34"/>
        </w:rPr>
        <w:t>3. CARACTERIZACIÓN EXHAUSTIVA DE LA OFERTA Y SERVICIOS ACTUALES</w:t>
      </w:r>
    </w:p>
    <w:p>
      <w:pPr>
        <w:spacing w:before="0" w:after="120" w:line="276" w:lineRule="auto"/>
      </w:pPr>
      <w:r>
        <w:rPr>
          <w:rFonts w:ascii="Calibri" w:hAnsi="Calibri"/>
          <w:color w:val="212529"/>
          <w:sz w:val="20"/>
        </w:rPr>
        <w:t>A través del análisis del sitio web y de la documentación técnica de la compañía, se ha procedido a estructurar y mapear las líneas de negocio fundamentales que componen el catálogo de IMAX PC. Cada una de ellas exige requerimientos específicos de datos y flujos dentro del ERP/CRM:</w:t>
      </w:r>
    </w:p>
    <w:p>
      <w:pPr>
        <w:keepNext/>
        <w:spacing w:before="320" w:after="120"/>
      </w:pPr>
      <w:r>
        <w:rPr>
          <w:rFonts w:ascii="Calibri" w:hAnsi="Calibri"/>
          <w:b/>
          <w:color w:val="4DB7E3"/>
          <w:sz w:val="26"/>
        </w:rPr>
        <w:t>3.1. Servicio de Mantenimiento Informático Corporativo</w:t>
      </w:r>
    </w:p>
    <w:p>
      <w:pPr>
        <w:spacing w:before="0" w:after="120" w:line="276" w:lineRule="auto"/>
      </w:pPr>
      <w:r>
        <w:rPr>
          <w:rFonts w:ascii="Calibri" w:hAnsi="Calibri"/>
          <w:color w:val="212529"/>
          <w:sz w:val="20"/>
        </w:rPr>
        <w:t>Constituye el núcleo del modelo de ingresos recurrentes de la compañía, prestando servicio a más de 200 clientes entre particulares, autónomos y pequeñas/medianas empresas. Se articula sobre un modelo metodológico de tres pilares complementarios:</w:t>
      </w:r>
    </w:p>
    <w:tbl>
      <w:tblPr>
        <w:tblW w:type="auto" w:w="0"/>
        <w:tblLook w:firstColumn="1" w:firstRow="1" w:lastColumn="0" w:lastRow="0" w:noHBand="0" w:noVBand="1" w:val="04A0"/>
      </w:tblPr>
      <w:tblGrid>
        <w:gridCol w:w="3010"/>
        <w:gridCol w:w="3010"/>
        <w:gridCol w:w="3010"/>
      </w:tblGrid>
      <w:tr>
        <w:tc>
          <w:tcPr>
            <w:tcW w:type="dxa" w:w="2592"/>
            <w:shd w:fill="1A3A6E"/>
            <w:tcMar>
              <w:top w:w="140" w:type="dxa"/>
              <w:bottom w:w="140" w:type="dxa"/>
              <w:left w:w="180" w:type="dxa"/>
              <w:right w:w="180" w:type="dxa"/>
            </w:tcMar>
            <w:vAlign w:val="center"/>
          </w:tcPr>
          <w:p>
            <w:pPr>
              <w:jc w:val="left"/>
            </w:pPr>
            <w:r>
              <w:t>Pilar de Servicio</w:t>
            </w:r>
          </w:p>
        </w:tc>
        <w:tc>
          <w:tcPr>
            <w:tcW w:type="dxa" w:w="3168"/>
            <w:shd w:fill="1A3A6E"/>
            <w:tcMar>
              <w:top w:w="140" w:type="dxa"/>
              <w:bottom w:w="140" w:type="dxa"/>
              <w:left w:w="180" w:type="dxa"/>
              <w:right w:w="180" w:type="dxa"/>
            </w:tcMar>
            <w:vAlign w:val="center"/>
          </w:tcPr>
          <w:p>
            <w:pPr>
              <w:jc w:val="left"/>
            </w:pPr>
            <w:r>
              <w:t>Alcance y Operaciones Clave</w:t>
            </w:r>
          </w:p>
        </w:tc>
        <w:tc>
          <w:tcPr>
            <w:tcW w:type="dxa" w:w="3269"/>
            <w:shd w:fill="1A3A6E"/>
            <w:tcMar>
              <w:top w:w="140" w:type="dxa"/>
              <w:bottom w:w="140" w:type="dxa"/>
              <w:left w:w="180" w:type="dxa"/>
              <w:right w:w="180" w:type="dxa"/>
            </w:tcMar>
            <w:vAlign w:val="center"/>
          </w:tcPr>
          <w:p>
            <w:pPr>
              <w:jc w:val="left"/>
            </w:pPr>
            <w:r>
              <w:t>Objetivo y Compromiso SLA</w:t>
            </w:r>
          </w:p>
        </w:tc>
      </w:tr>
      <w:tr>
        <w:tc>
          <w:tcPr>
            <w:tcW w:type="dxa" w:w="2592"/>
            <w:shd w:fill="FFFFFF"/>
            <w:tcMar>
              <w:top w:w="100" w:type="dxa"/>
              <w:bottom w:w="100" w:type="dxa"/>
              <w:left w:w="180" w:type="dxa"/>
              <w:right w:w="180" w:type="dxa"/>
            </w:tcMar>
            <w:vAlign w:val="center"/>
          </w:tcPr>
          <w:p>
            <w:r>
              <w:rPr>
                <w:rFonts w:ascii="Calibri" w:hAnsi="Calibri"/>
                <w:color w:val="212529"/>
                <w:sz w:val="18"/>
              </w:rPr>
              <w:t>Mantenimiento Preventivo</w:t>
            </w:r>
          </w:p>
        </w:tc>
        <w:tc>
          <w:tcPr>
            <w:tcW w:type="dxa" w:w="3168"/>
            <w:shd w:fill="FFFFFF"/>
            <w:tcMar>
              <w:top w:w="100" w:type="dxa"/>
              <w:bottom w:w="100" w:type="dxa"/>
              <w:left w:w="180" w:type="dxa"/>
              <w:right w:w="180" w:type="dxa"/>
            </w:tcMar>
            <w:vAlign w:val="center"/>
          </w:tcPr>
          <w:p>
            <w:r>
              <w:rPr>
                <w:rFonts w:ascii="Calibri" w:hAnsi="Calibri"/>
                <w:color w:val="212529"/>
                <w:sz w:val="18"/>
              </w:rPr>
              <w:t>Auditorías recurrentes, limpieza de archivos temporales basura, actualización de parches de seguridad de OS y software crítico, revisión periódica de hardware, optimización de sistemas y comprobaciones programadas.</w:t>
            </w:r>
          </w:p>
        </w:tc>
        <w:tc>
          <w:tcPr>
            <w:tcW w:type="dxa" w:w="3269"/>
            <w:shd w:fill="FFFFFF"/>
            <w:tcMar>
              <w:top w:w="100" w:type="dxa"/>
              <w:bottom w:w="100" w:type="dxa"/>
              <w:left w:w="180" w:type="dxa"/>
              <w:right w:w="180" w:type="dxa"/>
            </w:tcMar>
            <w:vAlign w:val="center"/>
          </w:tcPr>
          <w:p>
            <w:r>
              <w:rPr>
                <w:rFonts w:ascii="Calibri" w:hAnsi="Calibri"/>
                <w:color w:val="212529"/>
                <w:sz w:val="18"/>
              </w:rPr>
              <w:t>Objetivo: Cero Paradas operativas. Minimizar hasta un 70% las averías inesperadas.</w:t>
            </w:r>
          </w:p>
        </w:tc>
      </w:tr>
      <w:tr>
        <w:tc>
          <w:tcPr>
            <w:tcW w:type="dxa" w:w="2592"/>
            <w:shd w:fill="F7F9FC"/>
            <w:tcMar>
              <w:top w:w="100" w:type="dxa"/>
              <w:bottom w:w="100" w:type="dxa"/>
              <w:left w:w="180" w:type="dxa"/>
              <w:right w:w="180" w:type="dxa"/>
            </w:tcMar>
            <w:vAlign w:val="center"/>
          </w:tcPr>
          <w:p>
            <w:r>
              <w:rPr>
                <w:rFonts w:ascii="Calibri" w:hAnsi="Calibri"/>
                <w:color w:val="212529"/>
                <w:sz w:val="18"/>
              </w:rPr>
              <w:t>Mantenimiento Correctivo</w:t>
            </w:r>
          </w:p>
        </w:tc>
        <w:tc>
          <w:tcPr>
            <w:tcW w:type="dxa" w:w="3168"/>
            <w:shd w:fill="F7F9FC"/>
            <w:tcMar>
              <w:top w:w="100" w:type="dxa"/>
              <w:bottom w:w="100" w:type="dxa"/>
              <w:left w:w="180" w:type="dxa"/>
              <w:right w:w="180" w:type="dxa"/>
            </w:tcMar>
            <w:vAlign w:val="center"/>
          </w:tcPr>
          <w:p>
            <w:r>
              <w:rPr>
                <w:rFonts w:ascii="Calibri" w:hAnsi="Calibri"/>
                <w:color w:val="212529"/>
                <w:sz w:val="18"/>
              </w:rPr>
              <w:t>Sustitución inmediata de piezas averiadas, recuperación ante desastres (Disaster Recovery), equipos de sustitución rápida, eliminación de virus/malware/ransomware y reconfiguración express.</w:t>
            </w:r>
          </w:p>
        </w:tc>
        <w:tc>
          <w:tcPr>
            <w:tcW w:type="dxa" w:w="3269"/>
            <w:shd w:fill="F7F9FC"/>
            <w:tcMar>
              <w:top w:w="100" w:type="dxa"/>
              <w:bottom w:w="100" w:type="dxa"/>
              <w:left w:w="180" w:type="dxa"/>
              <w:right w:w="180" w:type="dxa"/>
            </w:tcMar>
            <w:vAlign w:val="center"/>
          </w:tcPr>
          <w:p>
            <w:r>
              <w:rPr>
                <w:rFonts w:ascii="Calibri" w:hAnsi="Calibri"/>
                <w:color w:val="212529"/>
                <w:sz w:val="18"/>
              </w:rPr>
              <w:t>Garantía de respuesta en &lt; 15 minutos en urgencias y resolución del 90% en &lt; 2 horas.</w:t>
            </w:r>
          </w:p>
        </w:tc>
      </w:tr>
      <w:tr>
        <w:tc>
          <w:tcPr>
            <w:tcW w:type="dxa" w:w="2592"/>
            <w:shd w:fill="FFFFFF"/>
            <w:tcMar>
              <w:top w:w="100" w:type="dxa"/>
              <w:bottom w:w="100" w:type="dxa"/>
              <w:left w:w="180" w:type="dxa"/>
              <w:right w:w="180" w:type="dxa"/>
            </w:tcMar>
            <w:vAlign w:val="center"/>
          </w:tcPr>
          <w:p>
            <w:r>
              <w:rPr>
                <w:rFonts w:ascii="Calibri" w:hAnsi="Calibri"/>
                <w:color w:val="212529"/>
                <w:sz w:val="18"/>
              </w:rPr>
              <w:t>Mantenimiento Predictivo 24/7</w:t>
            </w:r>
          </w:p>
        </w:tc>
        <w:tc>
          <w:tcPr>
            <w:tcW w:type="dxa" w:w="3168"/>
            <w:shd w:fill="FFFFFF"/>
            <w:tcMar>
              <w:top w:w="100" w:type="dxa"/>
              <w:bottom w:w="100" w:type="dxa"/>
              <w:left w:w="180" w:type="dxa"/>
              <w:right w:w="180" w:type="dxa"/>
            </w:tcMar>
            <w:vAlign w:val="center"/>
          </w:tcPr>
          <w:p>
            <w:r>
              <w:rPr>
                <w:rFonts w:ascii="Calibri" w:hAnsi="Calibri"/>
                <w:color w:val="212529"/>
                <w:sz w:val="18"/>
              </w:rPr>
              <w:t>Monitorización continua de sensores de discos duros (SMART), supervisión de temperaturas críticas en servidores, telemetría de uso de CPU/RAM, detección temprana de anomalías y alertas automáticas.</w:t>
            </w:r>
          </w:p>
        </w:tc>
        <w:tc>
          <w:tcPr>
            <w:tcW w:type="dxa" w:w="3269"/>
            <w:shd w:fill="FFFFFF"/>
            <w:tcMar>
              <w:top w:w="100" w:type="dxa"/>
              <w:bottom w:w="100" w:type="dxa"/>
              <w:left w:w="180" w:type="dxa"/>
              <w:right w:w="180" w:type="dxa"/>
            </w:tcMar>
            <w:vAlign w:val="center"/>
          </w:tcPr>
          <w:p>
            <w:r>
              <w:rPr>
                <w:rFonts w:ascii="Calibri" w:hAnsi="Calibri"/>
                <w:color w:val="212529"/>
                <w:sz w:val="18"/>
              </w:rPr>
              <w:t>Anticipación total. Intervención proactiva antes de que la degradación física cause corte de servicio.</w:t>
            </w:r>
          </w:p>
        </w:tc>
      </w:tr>
    </w:tbl>
    <w:p>
      <w:pPr>
        <w:keepNext/>
        <w:spacing w:before="240" w:after="80"/>
      </w:pPr>
      <w:r>
        <w:rPr>
          <w:rFonts w:ascii="Calibri" w:hAnsi="Calibri"/>
          <w:b/>
          <w:color w:val="1A3A6E"/>
          <w:sz w:val="22"/>
        </w:rPr>
        <w:t>Elementos de Infraestructura Protegidos en Cliente:</w:t>
      </w:r>
    </w:p>
    <w:p>
      <w:pPr>
        <w:pStyle w:val="ListBullet"/>
        <w:spacing w:before="0" w:after="80" w:line="276" w:lineRule="auto"/>
      </w:pPr>
      <w:r>
        <w:rPr>
          <w:rFonts w:ascii="Calibri" w:hAnsi="Calibri"/>
          <w:b/>
          <w:color w:val="212529"/>
          <w:sz w:val="20"/>
        </w:rPr>
        <w:t xml:space="preserve">Endpoints: </w:t>
      </w:r>
      <w:r>
        <w:rPr>
          <w:rFonts w:ascii="Calibri" w:hAnsi="Calibri"/>
          <w:color w:val="212529"/>
          <w:sz w:val="20"/>
        </w:rPr>
        <w:t xml:space="preserve"> Estaciones de trabajo sobremesa y ordenadores portátiles (Windows / macOS).</w:t>
      </w:r>
    </w:p>
    <w:p>
      <w:pPr>
        <w:pStyle w:val="ListBullet"/>
        <w:spacing w:before="0" w:after="80" w:line="276" w:lineRule="auto"/>
      </w:pPr>
      <w:r>
        <w:rPr>
          <w:rFonts w:ascii="Calibri" w:hAnsi="Calibri"/>
          <w:b/>
          <w:color w:val="212529"/>
          <w:sz w:val="20"/>
        </w:rPr>
        <w:t xml:space="preserve">Servidores y Almacenamiento: </w:t>
      </w:r>
      <w:r>
        <w:rPr>
          <w:rFonts w:ascii="Calibri" w:hAnsi="Calibri"/>
          <w:color w:val="212529"/>
          <w:sz w:val="20"/>
        </w:rPr>
        <w:t xml:space="preserve"> Servidores Windows Server, entornos virtualizados y cabinas de almacenamiento en red (NAS con arreglos RAID).</w:t>
      </w:r>
    </w:p>
    <w:p>
      <w:pPr>
        <w:pStyle w:val="ListBullet"/>
        <w:spacing w:before="0" w:after="80" w:line="276" w:lineRule="auto"/>
      </w:pPr>
      <w:r>
        <w:rPr>
          <w:rFonts w:ascii="Calibri" w:hAnsi="Calibri"/>
          <w:b/>
          <w:color w:val="212529"/>
          <w:sz w:val="20"/>
        </w:rPr>
        <w:t xml:space="preserve">Comunicaciones y Redes: </w:t>
      </w:r>
      <w:r>
        <w:rPr>
          <w:rFonts w:ascii="Calibri" w:hAnsi="Calibri"/>
          <w:color w:val="212529"/>
          <w:sz w:val="20"/>
        </w:rPr>
        <w:t xml:space="preserve"> Switches gestionados, segmentación por VLANs corporativas, cableado estructurado Cat 6/6A y puntos de acceso Wi-Fi con seguridad WPA3 y red de invitados aislada.</w:t>
      </w:r>
    </w:p>
    <w:p>
      <w:pPr>
        <w:pStyle w:val="ListBullet"/>
        <w:spacing w:before="0" w:after="80" w:line="276" w:lineRule="auto"/>
      </w:pPr>
      <w:r>
        <w:rPr>
          <w:rFonts w:ascii="Calibri" w:hAnsi="Calibri"/>
          <w:b/>
          <w:color w:val="212529"/>
          <w:sz w:val="20"/>
        </w:rPr>
        <w:t xml:space="preserve">Seguridad Perimetral: </w:t>
      </w:r>
      <w:r>
        <w:rPr>
          <w:rFonts w:ascii="Calibri" w:hAnsi="Calibri"/>
          <w:color w:val="212529"/>
          <w:sz w:val="20"/>
        </w:rPr>
        <w:t xml:space="preserve"> Routers multipuerto con balanceo de carga, firewalls perimetrales con filtrado de contenidos, túneles VPN cifrados para teletrabajo y soluciones de ciberseguridad EDR.</w:t>
      </w:r>
    </w:p>
    <w:p>
      <w:pPr>
        <w:pStyle w:val="ListBullet"/>
        <w:spacing w:before="0" w:after="80" w:line="276" w:lineRule="auto"/>
      </w:pPr>
      <w:r>
        <w:rPr>
          <w:rFonts w:ascii="Calibri" w:hAnsi="Calibri"/>
          <w:b/>
          <w:color w:val="212529"/>
          <w:sz w:val="20"/>
        </w:rPr>
        <w:t xml:space="preserve">Protección y Backup: </w:t>
      </w:r>
      <w:r>
        <w:rPr>
          <w:rFonts w:ascii="Calibri" w:hAnsi="Calibri"/>
          <w:color w:val="212529"/>
          <w:sz w:val="20"/>
        </w:rPr>
        <w:t xml:space="preserve"> Sistemas de copia de seguridad 3-2-1 híbridos (almacenamiento local ultrarrápido y réplica en nube cifrada) con test periódico de restauración del 100% de datos.</w:t>
      </w:r>
    </w:p>
    <w:p>
      <w:pPr>
        <w:pStyle w:val="ListBullet"/>
        <w:spacing w:before="0" w:after="80" w:line="276" w:lineRule="auto"/>
      </w:pPr>
      <w:r>
        <w:rPr>
          <w:rFonts w:ascii="Calibri" w:hAnsi="Calibri"/>
          <w:b/>
          <w:color w:val="212529"/>
          <w:sz w:val="20"/>
        </w:rPr>
        <w:t xml:space="preserve">Aplicaciones de Negocio: </w:t>
      </w:r>
      <w:r>
        <w:rPr>
          <w:rFonts w:ascii="Calibri" w:hAnsi="Calibri"/>
          <w:color w:val="212529"/>
          <w:sz w:val="20"/>
        </w:rPr>
        <w:t xml:space="preserve"> Mantenimiento y optimización de bases de datos locales SQL, gestores documentales, ERPs de terceros, software contable y Microsoft 365.</w:t>
      </w:r>
    </w:p>
    <w:p>
      <w:pPr>
        <w:keepNext/>
        <w:spacing w:before="240" w:after="80"/>
      </w:pPr>
      <w:r>
        <w:rPr>
          <w:rFonts w:ascii="Calibri" w:hAnsi="Calibri"/>
          <w:b/>
          <w:color w:val="1A3A6E"/>
          <w:sz w:val="22"/>
        </w:rPr>
        <w:t>Metodología de Onboarding en Cinco Fases:</w:t>
      </w:r>
    </w:p>
    <w:p>
      <w:pPr>
        <w:pStyle w:val="ListBullet"/>
        <w:spacing w:before="0" w:after="80" w:line="276" w:lineRule="auto"/>
      </w:pPr>
      <w:r>
        <w:rPr>
          <w:rFonts w:ascii="Calibri" w:hAnsi="Calibri"/>
          <w:b/>
          <w:color w:val="212529"/>
          <w:sz w:val="20"/>
        </w:rPr>
        <w:t xml:space="preserve">1. Inventario Completo de Equipos: </w:t>
      </w:r>
      <w:r>
        <w:rPr>
          <w:rFonts w:ascii="Calibri" w:hAnsi="Calibri"/>
          <w:color w:val="212529"/>
          <w:sz w:val="20"/>
        </w:rPr>
        <w:t xml:space="preserve"> Levantamiento riguroso de todo el parque informático (números de serie, hardware, licencias activas y topología de red).</w:t>
      </w:r>
    </w:p>
    <w:p>
      <w:pPr>
        <w:pStyle w:val="ListBullet"/>
        <w:spacing w:before="0" w:after="80" w:line="276" w:lineRule="auto"/>
      </w:pPr>
      <w:r>
        <w:rPr>
          <w:rFonts w:ascii="Calibri" w:hAnsi="Calibri"/>
          <w:b/>
          <w:color w:val="212529"/>
          <w:sz w:val="20"/>
        </w:rPr>
        <w:t xml:space="preserve">2. Diagnóstico Técnico Inicial: </w:t>
      </w:r>
      <w:r>
        <w:rPr>
          <w:rFonts w:ascii="Calibri" w:hAnsi="Calibri"/>
          <w:color w:val="212529"/>
          <w:sz w:val="20"/>
        </w:rPr>
        <w:t xml:space="preserve"> Auditoría de vulnerabilidades, análisis de cuellos de botella de red y chequeo de salud de discos y copias.</w:t>
      </w:r>
    </w:p>
    <w:p>
      <w:pPr>
        <w:pStyle w:val="ListBullet"/>
        <w:spacing w:before="0" w:after="80" w:line="276" w:lineRule="auto"/>
      </w:pPr>
      <w:r>
        <w:rPr>
          <w:rFonts w:ascii="Calibri" w:hAnsi="Calibri"/>
          <w:b/>
          <w:color w:val="212529"/>
          <w:sz w:val="20"/>
        </w:rPr>
        <w:t xml:space="preserve">3. Ejecución del Mantenimiento: </w:t>
      </w:r>
      <w:r>
        <w:rPr>
          <w:rFonts w:ascii="Calibri" w:hAnsi="Calibri"/>
          <w:color w:val="212529"/>
          <w:sz w:val="20"/>
        </w:rPr>
        <w:t xml:space="preserve"> Saneamiento, aplicación masiva de parches, desinfección profunda y optimización del rendimiento.</w:t>
      </w:r>
    </w:p>
    <w:p>
      <w:pPr>
        <w:pStyle w:val="ListBullet"/>
        <w:spacing w:before="0" w:after="80" w:line="276" w:lineRule="auto"/>
      </w:pPr>
      <w:r>
        <w:rPr>
          <w:rFonts w:ascii="Calibri" w:hAnsi="Calibri"/>
          <w:b/>
          <w:color w:val="212529"/>
          <w:sz w:val="20"/>
        </w:rPr>
        <w:t xml:space="preserve">4. Validación de Funcionamiento: </w:t>
      </w:r>
      <w:r>
        <w:rPr>
          <w:rFonts w:ascii="Calibri" w:hAnsi="Calibri"/>
          <w:color w:val="212529"/>
          <w:sz w:val="20"/>
        </w:rPr>
        <w:t xml:space="preserve"> Pruebas de estrés de red, validación de políticas de seguridad y simulacro de recuperación de copias.</w:t>
      </w:r>
    </w:p>
    <w:p>
      <w:pPr>
        <w:pStyle w:val="ListBullet"/>
        <w:spacing w:before="0" w:after="80" w:line="276" w:lineRule="auto"/>
      </w:pPr>
      <w:r>
        <w:rPr>
          <w:rFonts w:ascii="Calibri" w:hAnsi="Calibri"/>
          <w:b/>
          <w:color w:val="212529"/>
          <w:sz w:val="20"/>
        </w:rPr>
        <w:t xml:space="preserve">5. Informe Técnico y Recomendaciones: </w:t>
      </w:r>
      <w:r>
        <w:rPr>
          <w:rFonts w:ascii="Calibri" w:hAnsi="Calibri"/>
          <w:color w:val="212529"/>
          <w:sz w:val="20"/>
        </w:rPr>
        <w:t xml:space="preserve"> Entrega formal a gerencia del informe ejecutivo de estado y plan director de inversiones a 12 meses.</w:t>
      </w:r>
    </w:p>
    <w:p>
      <w:pPr>
        <w:keepNext/>
        <w:spacing w:before="320" w:after="120"/>
      </w:pPr>
      <w:r>
        <w:rPr>
          <w:rFonts w:ascii="Calibri" w:hAnsi="Calibri"/>
          <w:b/>
          <w:color w:val="4DB7E3"/>
          <w:sz w:val="26"/>
        </w:rPr>
        <w:t>3.2. Servicio Técnico Oficial y Distribución Brother</w:t>
      </w:r>
    </w:p>
    <w:p>
      <w:pPr>
        <w:pStyle w:val="ListBullet"/>
        <w:spacing w:before="0" w:after="80" w:line="276" w:lineRule="auto"/>
      </w:pPr>
      <w:r>
        <w:rPr>
          <w:rFonts w:ascii="Calibri" w:hAnsi="Calibri"/>
          <w:b/>
          <w:color w:val="212529"/>
          <w:sz w:val="20"/>
        </w:rPr>
        <w:t xml:space="preserve">Distribuidor y SAT Homologado Brother: </w:t>
      </w:r>
      <w:r>
        <w:rPr>
          <w:rFonts w:ascii="Calibri" w:hAnsi="Calibri"/>
          <w:color w:val="212529"/>
          <w:sz w:val="20"/>
        </w:rPr>
        <w:t xml:space="preserve"> Certificación técnica oficial que faculta a IMAX PC para diagnosticar, reparar y mantener equipos de impresión láser monocromo, color y multifunción Brother.</w:t>
      </w:r>
    </w:p>
    <w:p>
      <w:pPr>
        <w:pStyle w:val="ListBullet"/>
        <w:spacing w:before="0" w:after="80" w:line="276" w:lineRule="auto"/>
      </w:pPr>
      <w:r>
        <w:rPr>
          <w:rFonts w:ascii="Calibri" w:hAnsi="Calibri"/>
          <w:b/>
          <w:color w:val="212529"/>
          <w:sz w:val="20"/>
        </w:rPr>
        <w:t xml:space="preserve">Reparaciones Oficiales con Piezas Originales: </w:t>
      </w:r>
      <w:r>
        <w:rPr>
          <w:rFonts w:ascii="Calibri" w:hAnsi="Calibri"/>
          <w:color w:val="212529"/>
          <w:sz w:val="20"/>
        </w:rPr>
        <w:t xml:space="preserve"> Empleo exclusivo de componentes mecánicos, fusores, tambores y piezas originales de fábrica para preservar la garantía oficial del fabricante.</w:t>
      </w:r>
    </w:p>
    <w:p>
      <w:pPr>
        <w:pStyle w:val="ListBullet"/>
        <w:spacing w:before="0" w:after="80" w:line="276" w:lineRule="auto"/>
      </w:pPr>
      <w:r>
        <w:rPr>
          <w:rFonts w:ascii="Calibri" w:hAnsi="Calibri"/>
          <w:b/>
          <w:color w:val="212529"/>
          <w:sz w:val="20"/>
        </w:rPr>
        <w:t xml:space="preserve">Gestión Integral de Garantías: </w:t>
      </w:r>
      <w:r>
        <w:rPr>
          <w:rFonts w:ascii="Calibri" w:hAnsi="Calibri"/>
          <w:color w:val="212529"/>
          <w:sz w:val="20"/>
        </w:rPr>
        <w:t xml:space="preserve"> Tramitación directa de garantías oficiales Brother sin coste para el cliente corporativo o particular.</w:t>
      </w:r>
    </w:p>
    <w:p>
      <w:pPr>
        <w:pStyle w:val="ListBullet"/>
        <w:spacing w:before="0" w:after="80" w:line="276" w:lineRule="auto"/>
      </w:pPr>
      <w:r>
        <w:rPr>
          <w:rFonts w:ascii="Calibri" w:hAnsi="Calibri"/>
          <w:b/>
          <w:color w:val="212529"/>
          <w:sz w:val="20"/>
        </w:rPr>
        <w:t xml:space="preserve">Suministro de Consumibles 100% Originales: </w:t>
      </w:r>
      <w:r>
        <w:rPr>
          <w:rFonts w:ascii="Calibri" w:hAnsi="Calibri"/>
          <w:color w:val="212529"/>
          <w:sz w:val="20"/>
        </w:rPr>
        <w:t xml:space="preserve"> Comercialización de cartuchos de tóner (TN-2410, TN-2420 XL, TN-247C) y tintas (LC-3219VAL) originales, garantizando mayor durabilidad y evitando fallos en cabezales.</w:t>
      </w:r>
    </w:p>
    <w:p>
      <w:pPr>
        <w:keepNext/>
        <w:spacing w:before="320" w:after="120"/>
      </w:pPr>
      <w:r>
        <w:rPr>
          <w:rFonts w:ascii="Calibri" w:hAnsi="Calibri"/>
          <w:b/>
          <w:color w:val="4DB7E3"/>
          <w:sz w:val="26"/>
        </w:rPr>
        <w:t>3.3. Distribución y Especialización en Impresión HP</w:t>
      </w:r>
    </w:p>
    <w:p>
      <w:pPr>
        <w:pStyle w:val="ListBullet"/>
        <w:spacing w:before="0" w:after="80" w:line="276" w:lineRule="auto"/>
      </w:pPr>
      <w:r>
        <w:rPr>
          <w:rFonts w:ascii="Calibri" w:hAnsi="Calibri"/>
          <w:b/>
          <w:color w:val="212529"/>
          <w:sz w:val="20"/>
        </w:rPr>
        <w:t xml:space="preserve">Hardware HP Líder en el Mercado: </w:t>
      </w:r>
      <w:r>
        <w:rPr>
          <w:rFonts w:ascii="Calibri" w:hAnsi="Calibri"/>
          <w:color w:val="212529"/>
          <w:sz w:val="20"/>
        </w:rPr>
        <w:t xml:space="preserve"> Suministro y configuración de equipos avanzados HP LaserJet Pro (M404dn, MFP M428fdw, Color M255dw, MFP M479fdw) y gama profesional OfficeJet Pro.</w:t>
      </w:r>
    </w:p>
    <w:p>
      <w:pPr>
        <w:pStyle w:val="ListBullet"/>
        <w:spacing w:before="0" w:after="80" w:line="276" w:lineRule="auto"/>
      </w:pPr>
      <w:r>
        <w:rPr>
          <w:rFonts w:ascii="Calibri" w:hAnsi="Calibri"/>
          <w:b/>
          <w:color w:val="212529"/>
          <w:sz w:val="20"/>
        </w:rPr>
        <w:t xml:space="preserve">Consumibles HP Originales de Alto Rendimiento: </w:t>
      </w:r>
      <w:r>
        <w:rPr>
          <w:rFonts w:ascii="Calibri" w:hAnsi="Calibri"/>
          <w:color w:val="212529"/>
          <w:sz w:val="20"/>
        </w:rPr>
        <w:t xml:space="preserve"> Distribución de consumibles con tecnología JetIntelligence (CF259A, CF259X de hasta 10.000 páginas, packs 953XL, W2211A) para oficinas de alta demanda.</w:t>
      </w:r>
    </w:p>
    <w:p>
      <w:pPr>
        <w:keepNext/>
        <w:spacing w:before="320" w:after="120"/>
      </w:pPr>
      <w:r>
        <w:rPr>
          <w:rFonts w:ascii="Calibri" w:hAnsi="Calibri"/>
          <w:b/>
          <w:color w:val="4DB7E3"/>
          <w:sz w:val="26"/>
        </w:rPr>
        <w:t>3.4. Modalidad Contractual de Pago por Uso (Coste por Copia / Click)</w:t>
      </w:r>
    </w:p>
    <w:p>
      <w:pPr>
        <w:spacing w:before="0" w:after="120" w:line="276" w:lineRule="auto"/>
      </w:pPr>
      <w:r>
        <w:rPr>
          <w:rFonts w:ascii="Calibri" w:hAnsi="Calibri"/>
          <w:color w:val="212529"/>
          <w:sz w:val="20"/>
        </w:rPr>
        <w:t>IMAX PC ofrece un servicio gestionado integral de impresión donde la empresa cliente no requiere realizar una inversión inicial en compra de maquinaria. El servicio incluye:</w:t>
      </w:r>
    </w:p>
    <w:p>
      <w:pPr>
        <w:pStyle w:val="ListBullet"/>
        <w:spacing w:before="0" w:after="80" w:line="276" w:lineRule="auto"/>
      </w:pPr>
      <w:r>
        <w:rPr>
          <w:rFonts w:ascii="Calibri" w:hAnsi="Calibri"/>
          <w:color w:val="212529"/>
          <w:sz w:val="20"/>
        </w:rPr>
        <w:t>Cesión o suministro de equipos multifuncionales láser/LED de alta velocidad con mantenimiento técnico total incluido.</w:t>
      </w:r>
    </w:p>
    <w:p>
      <w:pPr>
        <w:pStyle w:val="ListBullet"/>
        <w:spacing w:before="0" w:after="80" w:line="276" w:lineRule="auto"/>
      </w:pPr>
      <w:r>
        <w:rPr>
          <w:rFonts w:ascii="Calibri" w:hAnsi="Calibri"/>
          <w:color w:val="212529"/>
          <w:sz w:val="20"/>
        </w:rPr>
        <w:t>Monitorización remota y entrega programada de tóner y piezas de desgaste antes de que el consumible se agote.</w:t>
      </w:r>
    </w:p>
    <w:p>
      <w:pPr>
        <w:pStyle w:val="ListBullet"/>
        <w:spacing w:before="0" w:after="80" w:line="276" w:lineRule="auto"/>
      </w:pPr>
      <w:r>
        <w:rPr>
          <w:rFonts w:ascii="Calibri" w:hAnsi="Calibri"/>
          <w:color w:val="212529"/>
          <w:sz w:val="20"/>
        </w:rPr>
        <w:t>Tarificación mensual basada exclusivamente en el volumen de páginas impresas (coste por página monocromo y color).</w:t>
      </w:r>
    </w:p>
    <w:p>
      <w:pPr>
        <w:keepNext/>
        <w:spacing w:before="320" w:after="120"/>
      </w:pPr>
      <w:r>
        <w:rPr>
          <w:rFonts w:ascii="Calibri" w:hAnsi="Calibri"/>
          <w:b/>
          <w:color w:val="4DB7E3"/>
          <w:sz w:val="26"/>
        </w:rPr>
        <w:t>3.5. Taller de Hardware: Montaje a Medida, Reparación y Plan Renove</w:t>
      </w:r>
    </w:p>
    <w:p>
      <w:pPr>
        <w:spacing w:before="0" w:after="120" w:line="276" w:lineRule="auto"/>
      </w:pPr>
      <w:r>
        <w:rPr>
          <w:rFonts w:ascii="Calibri" w:hAnsi="Calibri"/>
          <w:color w:val="212529"/>
          <w:sz w:val="20"/>
        </w:rPr>
        <w:t>Ubicado en las instalaciones de C/ Ardemans, 35, cuenta con banco de diagnóstico, herramientas de precisión y stock de recambios:</w:t>
      </w:r>
    </w:p>
    <w:p>
      <w:pPr>
        <w:pStyle w:val="ListBullet"/>
        <w:spacing w:before="0" w:after="80" w:line="276" w:lineRule="auto"/>
      </w:pPr>
      <w:r>
        <w:rPr>
          <w:rFonts w:ascii="Calibri" w:hAnsi="Calibri"/>
          <w:b/>
          <w:color w:val="212529"/>
          <w:sz w:val="20"/>
        </w:rPr>
        <w:t xml:space="preserve">Ordenadores a Medida: </w:t>
      </w:r>
      <w:r>
        <w:rPr>
          <w:rFonts w:ascii="Calibri" w:hAnsi="Calibri"/>
          <w:color w:val="212529"/>
          <w:sz w:val="20"/>
        </w:rPr>
        <w:t xml:space="preserve"> Ensamblaje bajo pedido con testeo de estabilidad de 24h. Tres gamas estandarizadas: 1) Oficina/Hogar (Intel i5/Ryzen 5, 16GB RAM, NVMe 512GB); 2) Gaming &amp; Streaming (Intel i7/Ryzen 7, 32GB DDR5, RTX 4070, refrigeración líquida); 3) Workstation Profesional (Intel i9/Ryzen 9/Threadripper, hasta 128GB RAM ECC, almacenamiento masivo PCIe Gen4 y gráficas de cálculo RTX Ada).</w:t>
      </w:r>
    </w:p>
    <w:p>
      <w:pPr>
        <w:pStyle w:val="ListBullet"/>
        <w:spacing w:before="0" w:after="80" w:line="276" w:lineRule="auto"/>
      </w:pPr>
      <w:r>
        <w:rPr>
          <w:rFonts w:ascii="Calibri" w:hAnsi="Calibri"/>
          <w:b/>
          <w:color w:val="212529"/>
          <w:sz w:val="20"/>
        </w:rPr>
        <w:t xml:space="preserve">Reparación de Averías Físicas y Lógicas: </w:t>
      </w:r>
      <w:r>
        <w:rPr>
          <w:rFonts w:ascii="Calibri" w:hAnsi="Calibri"/>
          <w:color w:val="212529"/>
          <w:sz w:val="20"/>
        </w:rPr>
        <w:t xml:space="preserve"> Solución express de fallos de encendido, fuentes de alimentación, microelectrónica de placa base, pantallas rotas de portátiles, conectores de carga y desinfección de virus sin pérdida de archivos.</w:t>
      </w:r>
    </w:p>
    <w:p>
      <w:pPr>
        <w:pStyle w:val="ListBullet"/>
        <w:spacing w:before="0" w:after="80" w:line="276" w:lineRule="auto"/>
      </w:pPr>
      <w:r>
        <w:rPr>
          <w:rFonts w:ascii="Calibri" w:hAnsi="Calibri"/>
          <w:b/>
          <w:color w:val="212529"/>
          <w:sz w:val="20"/>
        </w:rPr>
        <w:t xml:space="preserve">Planes de Renovación y Ampliación (Plan Renove): </w:t>
      </w:r>
      <w:r>
        <w:rPr>
          <w:rFonts w:ascii="Calibri" w:hAnsi="Calibri"/>
          <w:color w:val="212529"/>
          <w:sz w:val="20"/>
        </w:rPr>
        <w:t xml:space="preserve"> Rejuvenecimiento de equipos de más de 4 años sustituyendo discos mecánicos por unidades SSD NVMe y ampliando RAM, multiplicando hasta por 10 la velocidad por una fracción del coste de un equipo nuevo. Comercializado en tres paquetes: Pack Super Velocidad (89 €), Pack Renovación Total (149 €) y Pack Multitarea (65 €).</w:t>
      </w:r>
    </w:p>
    <w:p>
      <w:pPr>
        <w:keepNext/>
        <w:spacing w:before="320" w:after="120"/>
      </w:pPr>
      <w:r>
        <w:rPr>
          <w:rFonts w:ascii="Calibri" w:hAnsi="Calibri"/>
          <w:b/>
          <w:color w:val="4DB7E3"/>
          <w:sz w:val="26"/>
        </w:rPr>
        <w:t>3.6. Soluciones Cloud y Microsoft IA</w:t>
      </w:r>
    </w:p>
    <w:p>
      <w:pPr>
        <w:spacing w:before="0" w:after="120" w:line="276" w:lineRule="auto"/>
      </w:pPr>
      <w:r>
        <w:rPr>
          <w:rFonts w:ascii="Calibri" w:hAnsi="Calibri"/>
          <w:color w:val="212529"/>
          <w:sz w:val="20"/>
        </w:rPr>
        <w:t>Línea de alta especialización orientada a la digitalización avanzada y protección del dato corporativo:</w:t>
      </w:r>
    </w:p>
    <w:p>
      <w:pPr>
        <w:pStyle w:val="ListBullet"/>
        <w:spacing w:before="0" w:after="80" w:line="276" w:lineRule="auto"/>
      </w:pPr>
      <w:r>
        <w:rPr>
          <w:rFonts w:ascii="Calibri" w:hAnsi="Calibri"/>
          <w:b/>
          <w:color w:val="212529"/>
          <w:sz w:val="20"/>
        </w:rPr>
        <w:t xml:space="preserve">Microsoft 365 Copilot &amp; Agentes IA: </w:t>
      </w:r>
      <w:r>
        <w:rPr>
          <w:rFonts w:ascii="Calibri" w:hAnsi="Calibri"/>
          <w:color w:val="212529"/>
          <w:sz w:val="20"/>
        </w:rPr>
        <w:t xml:space="preserve"> Implantación y capacitación en el uso del asistente corporativo de inteligencia artificial integrado en Word, Excel, PowerPoint, Teams y Outlook. Adopción de la cultura 'Frontier Firm' en sus cuatro modos de trabajo: Delegación, Colaboración, Consulta y Exploración. Despliegue de agentes inteligentes con Copilot Studio.</w:t>
      </w:r>
    </w:p>
    <w:p>
      <w:pPr>
        <w:pStyle w:val="ListBullet"/>
        <w:spacing w:before="0" w:after="80" w:line="276" w:lineRule="auto"/>
      </w:pPr>
      <w:r>
        <w:rPr>
          <w:rFonts w:ascii="Calibri" w:hAnsi="Calibri"/>
          <w:b/>
          <w:color w:val="212529"/>
          <w:sz w:val="20"/>
        </w:rPr>
        <w:t xml:space="preserve">Ciberseguridad Microsoft 365 (Defender &amp; Purview): </w:t>
      </w:r>
      <w:r>
        <w:rPr>
          <w:rFonts w:ascii="Calibri" w:hAnsi="Calibri"/>
          <w:color w:val="212529"/>
          <w:sz w:val="20"/>
        </w:rPr>
        <w:t xml:space="preserve"> Modelo dual de ciberseguridad 'Castillo y Corona'. Microsoft Defender asegura el perímetro (murallas) mediante EDR, detección de intrusiones y anti-phishing; Microsoft Purview protege los datos confidenciales (joyas de la corona) mediante etiquetado de sensibilidad, políticas de prevención de fuga de datos (DLP) y cumplimiento RGPD. Estructurado en 4 niveles de madurez (Fundación, Operativo, Avanzado MDR 24/7 y Estratégico).</w:t>
      </w:r>
    </w:p>
    <w:p>
      <w:pPr>
        <w:pStyle w:val="ListBullet"/>
        <w:spacing w:before="0" w:after="80" w:line="276" w:lineRule="auto"/>
      </w:pPr>
      <w:r>
        <w:rPr>
          <w:rFonts w:ascii="Calibri" w:hAnsi="Calibri"/>
          <w:b/>
          <w:color w:val="212529"/>
          <w:sz w:val="20"/>
        </w:rPr>
        <w:t xml:space="preserve">Microsoft Fabric &amp; Big Data: </w:t>
      </w:r>
      <w:r>
        <w:rPr>
          <w:rFonts w:ascii="Calibri" w:hAnsi="Calibri"/>
          <w:color w:val="212529"/>
          <w:sz w:val="20"/>
        </w:rPr>
        <w:t xml:space="preserve"> Unificación de silos de datos empresariales en OneLake sin procesos ETL redundantes. Integración de Data Factory, ingeniería de datos en Apache Spark, Data Warehouse con consultas en lenguaje natural, telemetría en tiempo real y cuadros de mando interactivos en Power BI con Data Agents.</w:t>
      </w:r>
    </w:p>
    <w:p>
      <w:pPr>
        <w:keepNext/>
        <w:spacing w:before="320" w:after="120"/>
      </w:pPr>
      <w:r>
        <w:rPr>
          <w:rFonts w:ascii="Calibri" w:hAnsi="Calibri"/>
          <w:b/>
          <w:color w:val="4DB7E3"/>
          <w:sz w:val="26"/>
        </w:rPr>
        <w:t>3.7. Automatización de Procesos y Software a Medida</w:t>
      </w:r>
    </w:p>
    <w:p>
      <w:pPr>
        <w:pStyle w:val="ListBullet"/>
        <w:spacing w:before="0" w:after="80" w:line="276" w:lineRule="auto"/>
      </w:pPr>
      <w:r>
        <w:rPr>
          <w:rFonts w:ascii="Calibri" w:hAnsi="Calibri"/>
          <w:b/>
          <w:color w:val="212529"/>
          <w:sz w:val="20"/>
        </w:rPr>
        <w:t xml:space="preserve">Microsoft Power Automate y Power Apps: </w:t>
      </w:r>
      <w:r>
        <w:rPr>
          <w:rFonts w:ascii="Calibri" w:hAnsi="Calibri"/>
          <w:color w:val="212529"/>
          <w:sz w:val="20"/>
        </w:rPr>
        <w:t xml:space="preserve"> Diseño de flujos automáticos entre correo, SharePoint, bases de datos y sistemas corporativos eliminando intervenciones manuales.</w:t>
      </w:r>
    </w:p>
    <w:p>
      <w:pPr>
        <w:pStyle w:val="ListBullet"/>
        <w:spacing w:before="0" w:after="80" w:line="276" w:lineRule="auto"/>
      </w:pPr>
      <w:r>
        <w:rPr>
          <w:rFonts w:ascii="Calibri" w:hAnsi="Calibri"/>
          <w:b/>
          <w:color w:val="212529"/>
          <w:sz w:val="20"/>
        </w:rPr>
        <w:t xml:space="preserve">Robotic Process Automation (RPA): </w:t>
      </w:r>
      <w:r>
        <w:rPr>
          <w:rFonts w:ascii="Calibri" w:hAnsi="Calibri"/>
          <w:color w:val="212529"/>
          <w:sz w:val="20"/>
        </w:rPr>
        <w:t xml:space="preserve"> Robots de software para interactuar con aplicaciones heredadas, extracción de datos web y registro en portales.</w:t>
      </w:r>
    </w:p>
    <w:p>
      <w:pPr>
        <w:pStyle w:val="ListBullet"/>
        <w:spacing w:before="0" w:after="80" w:line="276" w:lineRule="auto"/>
      </w:pPr>
      <w:r>
        <w:rPr>
          <w:rFonts w:ascii="Calibri" w:hAnsi="Calibri"/>
          <w:b/>
          <w:color w:val="212529"/>
          <w:sz w:val="20"/>
        </w:rPr>
        <w:t xml:space="preserve">Desarrollo de Integraciones API: </w:t>
      </w:r>
      <w:r>
        <w:rPr>
          <w:rFonts w:ascii="Calibri" w:hAnsi="Calibri"/>
          <w:color w:val="212529"/>
          <w:sz w:val="20"/>
        </w:rPr>
        <w:t xml:space="preserve"> Creación de conectores REST y middleware en Python, TypeScript y SQL para comunicar aplicaciones que no disponen de integración nativa.</w:t>
      </w:r>
    </w:p>
    <w:p>
      <w:pPr>
        <w:keepNext/>
        <w:spacing w:before="320" w:after="120"/>
      </w:pPr>
      <w:r>
        <w:rPr>
          <w:rFonts w:ascii="Calibri" w:hAnsi="Calibri"/>
          <w:b/>
          <w:color w:val="4DB7E3"/>
          <w:sz w:val="26"/>
        </w:rPr>
        <w:t>3.8. Venta de Periféricos, Componentes de Red y Almacenamiento</w:t>
      </w:r>
    </w:p>
    <w:p>
      <w:pPr>
        <w:spacing w:before="0" w:after="120" w:line="276" w:lineRule="auto"/>
      </w:pPr>
      <w:r>
        <w:rPr>
          <w:rFonts w:ascii="Calibri" w:hAnsi="Calibri"/>
          <w:color w:val="212529"/>
          <w:sz w:val="20"/>
        </w:rPr>
        <w:t>Catálogo complementario en tienda física y web que incluye periféricos ergonómicos (Logitech MX Master 3S, MX Keys S), almacenamiento SSD interno (Samsung 990 PRO) y externo rugerizado (SanDisk Extreme), routers Wi-Fi 6 profesionales (ASUS RT-AX58U) y switches Gigabit metálicos (TP-Link).</w:t>
      </w:r>
    </w:p>
    <w:p>
      <w:r>
        <w:br w:type="page"/>
      </w:r>
    </w:p>
    <w:p>
      <w:pPr>
        <w:keepNext/>
        <w:spacing w:before="440" w:after="160"/>
      </w:pPr>
      <w:r>
        <w:rPr>
          <w:rFonts w:ascii="Calibri" w:hAnsi="Calibri"/>
          <w:b/>
          <w:color w:val="1A3A6E"/>
          <w:sz w:val="34"/>
        </w:rPr>
        <w:t>4. DIAGNÓSTICO OPERATIVO ACTUAL ('AS-IS') Y NECESIDAD DE TRANSFORMACIÓN</w:t>
      </w:r>
    </w:p>
    <w:p>
      <w:pPr>
        <w:spacing w:before="0" w:after="120" w:line="276" w:lineRule="auto"/>
      </w:pPr>
      <w:r>
        <w:rPr>
          <w:rFonts w:ascii="Calibri" w:hAnsi="Calibri"/>
          <w:color w:val="212529"/>
          <w:sz w:val="20"/>
        </w:rPr>
        <w:t>Durante la fase de análisis de los flujos de trabajo de IMAX PC, se ha identificado que el extraordinario valor técnico y la alta satisfacción que perciben los clientes contrastan con una arquitectura de información interna fragmentada. El negocio ha crecido a mayor ritmo que sus herramientas de soporte de gestión.</w:t>
      </w:r>
    </w:p>
    <w:p>
      <w:pPr>
        <w:keepNext/>
        <w:spacing w:before="320" w:after="120"/>
      </w:pPr>
      <w:r>
        <w:rPr>
          <w:rFonts w:ascii="Calibri" w:hAnsi="Calibri"/>
          <w:b/>
          <w:color w:val="4DB7E3"/>
          <w:sz w:val="26"/>
        </w:rPr>
        <w:t>4.1. Mapeo de Procesos Actuales y Puntos de Fricción</w:t>
      </w:r>
    </w:p>
    <w:tbl>
      <w:tblPr>
        <w:tblW w:type="auto" w:w="0"/>
        <w:tblLook w:firstColumn="1" w:firstRow="1" w:lastColumn="0" w:lastRow="0" w:noHBand="0" w:noVBand="1" w:val="04A0"/>
      </w:tblPr>
      <w:tblGrid>
        <w:gridCol w:w="3010"/>
        <w:gridCol w:w="3010"/>
        <w:gridCol w:w="3010"/>
      </w:tblGrid>
      <w:tr>
        <w:tc>
          <w:tcPr>
            <w:tcW w:type="dxa" w:w="2592"/>
            <w:shd w:fill="1A3A6E"/>
            <w:tcMar>
              <w:top w:w="140" w:type="dxa"/>
              <w:bottom w:w="140" w:type="dxa"/>
              <w:left w:w="180" w:type="dxa"/>
              <w:right w:w="180" w:type="dxa"/>
            </w:tcMar>
            <w:vAlign w:val="center"/>
          </w:tcPr>
          <w:p>
            <w:pPr>
              <w:jc w:val="left"/>
            </w:pPr>
            <w:r>
              <w:t>Proceso de Negocio</w:t>
            </w:r>
          </w:p>
        </w:tc>
        <w:tc>
          <w:tcPr>
            <w:tcW w:type="dxa" w:w="3312"/>
            <w:shd w:fill="1A3A6E"/>
            <w:tcMar>
              <w:top w:w="140" w:type="dxa"/>
              <w:bottom w:w="140" w:type="dxa"/>
              <w:left w:w="180" w:type="dxa"/>
              <w:right w:w="180" w:type="dxa"/>
            </w:tcMar>
            <w:vAlign w:val="center"/>
          </w:tcPr>
          <w:p>
            <w:pPr>
              <w:jc w:val="left"/>
            </w:pPr>
            <w:r>
              <w:t>Operativa Actual (AS-IS)</w:t>
            </w:r>
          </w:p>
        </w:tc>
        <w:tc>
          <w:tcPr>
            <w:tcW w:type="dxa" w:w="3125"/>
            <w:shd w:fill="1A3A6E"/>
            <w:tcMar>
              <w:top w:w="140" w:type="dxa"/>
              <w:bottom w:w="140" w:type="dxa"/>
              <w:left w:w="180" w:type="dxa"/>
              <w:right w:w="180" w:type="dxa"/>
            </w:tcMar>
            <w:vAlign w:val="center"/>
          </w:tcPr>
          <w:p>
            <w:pPr>
              <w:jc w:val="left"/>
            </w:pPr>
            <w:r>
              <w:t>Ineficiencia / Cuello de Botella</w:t>
            </w:r>
          </w:p>
        </w:tc>
      </w:tr>
      <w:tr>
        <w:tc>
          <w:tcPr>
            <w:tcW w:type="dxa" w:w="2592"/>
            <w:shd w:fill="FFFFFF"/>
            <w:tcMar>
              <w:top w:w="100" w:type="dxa"/>
              <w:bottom w:w="100" w:type="dxa"/>
              <w:left w:w="180" w:type="dxa"/>
              <w:right w:w="180" w:type="dxa"/>
            </w:tcMar>
            <w:vAlign w:val="center"/>
          </w:tcPr>
          <w:p>
            <w:r>
              <w:rPr>
                <w:rFonts w:ascii="Calibri" w:hAnsi="Calibri"/>
                <w:color w:val="212529"/>
                <w:sz w:val="18"/>
              </w:rPr>
              <w:t>Recepción en Taller (SAT)</w:t>
            </w:r>
          </w:p>
        </w:tc>
        <w:tc>
          <w:tcPr>
            <w:tcW w:type="dxa" w:w="3312"/>
            <w:shd w:fill="FFFFFF"/>
            <w:tcMar>
              <w:top w:w="100" w:type="dxa"/>
              <w:bottom w:w="100" w:type="dxa"/>
              <w:left w:w="180" w:type="dxa"/>
              <w:right w:w="180" w:type="dxa"/>
            </w:tcMar>
            <w:vAlign w:val="center"/>
          </w:tcPr>
          <w:p>
            <w:r>
              <w:rPr>
                <w:rFonts w:ascii="Calibri" w:hAnsi="Calibri"/>
                <w:color w:val="212529"/>
                <w:sz w:val="18"/>
              </w:rPr>
              <w:t>El cliente entrega el equipo en C/ Ardemans. Se anota la avería en ficha física o albarán genérico.</w:t>
            </w:r>
          </w:p>
        </w:tc>
        <w:tc>
          <w:tcPr>
            <w:tcW w:type="dxa" w:w="3125"/>
            <w:shd w:fill="FFFFFF"/>
            <w:tcMar>
              <w:top w:w="100" w:type="dxa"/>
              <w:bottom w:w="100" w:type="dxa"/>
              <w:left w:w="180" w:type="dxa"/>
              <w:right w:w="180" w:type="dxa"/>
            </w:tcMar>
            <w:vAlign w:val="center"/>
          </w:tcPr>
          <w:p>
            <w:r>
              <w:rPr>
                <w:rFonts w:ascii="Calibri" w:hAnsi="Calibri"/>
                <w:color w:val="212529"/>
                <w:sz w:val="18"/>
              </w:rPr>
              <w:t>Riesgo de extravío de especificaciones, falta de seguimiento en tiempo real por el cliente y retraso en presupuesto.</w:t>
            </w:r>
          </w:p>
        </w:tc>
      </w:tr>
      <w:tr>
        <w:tc>
          <w:tcPr>
            <w:tcW w:type="dxa" w:w="2592"/>
            <w:shd w:fill="F7F9FC"/>
            <w:tcMar>
              <w:top w:w="100" w:type="dxa"/>
              <w:bottom w:w="100" w:type="dxa"/>
              <w:left w:w="180" w:type="dxa"/>
              <w:right w:w="180" w:type="dxa"/>
            </w:tcMar>
            <w:vAlign w:val="center"/>
          </w:tcPr>
          <w:p>
            <w:r>
              <w:rPr>
                <w:rFonts w:ascii="Calibri" w:hAnsi="Calibri"/>
                <w:color w:val="212529"/>
                <w:sz w:val="18"/>
              </w:rPr>
              <w:t>Captación de Leads Web</w:t>
            </w:r>
          </w:p>
        </w:tc>
        <w:tc>
          <w:tcPr>
            <w:tcW w:type="dxa" w:w="3312"/>
            <w:shd w:fill="F7F9FC"/>
            <w:tcMar>
              <w:top w:w="100" w:type="dxa"/>
              <w:bottom w:w="100" w:type="dxa"/>
              <w:left w:w="180" w:type="dxa"/>
              <w:right w:w="180" w:type="dxa"/>
            </w:tcMar>
            <w:vAlign w:val="center"/>
          </w:tcPr>
          <w:p>
            <w:r>
              <w:rPr>
                <w:rFonts w:ascii="Calibri" w:hAnsi="Calibri"/>
                <w:color w:val="212529"/>
                <w:sz w:val="18"/>
              </w:rPr>
              <w:t>Formularios de contacto y auditoría en la web Vue envían emails a info@imaxpc.es.</w:t>
            </w:r>
          </w:p>
        </w:tc>
        <w:tc>
          <w:tcPr>
            <w:tcW w:type="dxa" w:w="3125"/>
            <w:shd w:fill="F7F9FC"/>
            <w:tcMar>
              <w:top w:w="100" w:type="dxa"/>
              <w:bottom w:w="100" w:type="dxa"/>
              <w:left w:w="180" w:type="dxa"/>
              <w:right w:w="180" w:type="dxa"/>
            </w:tcMar>
            <w:vAlign w:val="center"/>
          </w:tcPr>
          <w:p>
            <w:r>
              <w:rPr>
                <w:rFonts w:ascii="Calibri" w:hAnsi="Calibri"/>
                <w:color w:val="212529"/>
                <w:sz w:val="18"/>
              </w:rPr>
              <w:t>El comercial debe transcribir manualmente los datos al gestor de correo; sin trazabilidad de tasa de conversión.</w:t>
            </w:r>
          </w:p>
        </w:tc>
      </w:tr>
      <w:tr>
        <w:tc>
          <w:tcPr>
            <w:tcW w:type="dxa" w:w="2592"/>
            <w:shd w:fill="FFFFFF"/>
            <w:tcMar>
              <w:top w:w="100" w:type="dxa"/>
              <w:bottom w:w="100" w:type="dxa"/>
              <w:left w:w="180" w:type="dxa"/>
              <w:right w:w="180" w:type="dxa"/>
            </w:tcMar>
            <w:vAlign w:val="center"/>
          </w:tcPr>
          <w:p>
            <w:r>
              <w:rPr>
                <w:rFonts w:ascii="Calibri" w:hAnsi="Calibri"/>
                <w:color w:val="212529"/>
                <w:sz w:val="18"/>
              </w:rPr>
              <w:t>Gestión de Pago por Uso</w:t>
            </w:r>
          </w:p>
        </w:tc>
        <w:tc>
          <w:tcPr>
            <w:tcW w:type="dxa" w:w="3312"/>
            <w:shd w:fill="FFFFFF"/>
            <w:tcMar>
              <w:top w:w="100" w:type="dxa"/>
              <w:bottom w:w="100" w:type="dxa"/>
              <w:left w:w="180" w:type="dxa"/>
              <w:right w:w="180" w:type="dxa"/>
            </w:tcMar>
            <w:vAlign w:val="center"/>
          </w:tcPr>
          <w:p>
            <w:r>
              <w:rPr>
                <w:rFonts w:ascii="Calibri" w:hAnsi="Calibri"/>
                <w:color w:val="212529"/>
                <w:sz w:val="18"/>
              </w:rPr>
              <w:t>Recopilación manual de los contadores de copias a final de mes vía llamada o email con el cliente.</w:t>
            </w:r>
          </w:p>
        </w:tc>
        <w:tc>
          <w:tcPr>
            <w:tcW w:type="dxa" w:w="3125"/>
            <w:shd w:fill="FFFFFF"/>
            <w:tcMar>
              <w:top w:w="100" w:type="dxa"/>
              <w:bottom w:w="100" w:type="dxa"/>
              <w:left w:w="180" w:type="dxa"/>
              <w:right w:w="180" w:type="dxa"/>
            </w:tcMar>
            <w:vAlign w:val="center"/>
          </w:tcPr>
          <w:p>
            <w:r>
              <w:rPr>
                <w:rFonts w:ascii="Calibri" w:hAnsi="Calibri"/>
                <w:color w:val="212529"/>
                <w:sz w:val="18"/>
              </w:rPr>
              <w:t>Retrasos de 5 a 10 días en la facturación, posibles errores de cómputo y quejas en facturación.</w:t>
            </w:r>
          </w:p>
        </w:tc>
      </w:tr>
      <w:tr>
        <w:tc>
          <w:tcPr>
            <w:tcW w:type="dxa" w:w="2592"/>
            <w:shd w:fill="F7F9FC"/>
            <w:tcMar>
              <w:top w:w="100" w:type="dxa"/>
              <w:bottom w:w="100" w:type="dxa"/>
              <w:left w:w="180" w:type="dxa"/>
              <w:right w:w="180" w:type="dxa"/>
            </w:tcMar>
            <w:vAlign w:val="center"/>
          </w:tcPr>
          <w:p>
            <w:r>
              <w:rPr>
                <w:rFonts w:ascii="Calibri" w:hAnsi="Calibri"/>
                <w:color w:val="212529"/>
                <w:sz w:val="18"/>
              </w:rPr>
              <w:t>Facturación Recurrente</w:t>
            </w:r>
          </w:p>
        </w:tc>
        <w:tc>
          <w:tcPr>
            <w:tcW w:type="dxa" w:w="3312"/>
            <w:shd w:fill="F7F9FC"/>
            <w:tcMar>
              <w:top w:w="100" w:type="dxa"/>
              <w:bottom w:w="100" w:type="dxa"/>
              <w:left w:w="180" w:type="dxa"/>
              <w:right w:w="180" w:type="dxa"/>
            </w:tcMar>
            <w:vAlign w:val="center"/>
          </w:tcPr>
          <w:p>
            <w:r>
              <w:rPr>
                <w:rFonts w:ascii="Calibri" w:hAnsi="Calibri"/>
                <w:color w:val="212529"/>
                <w:sz w:val="18"/>
              </w:rPr>
              <w:t>Generación una a una de facturas mensuales de abono de mantenimiento y bonos de horas.</w:t>
            </w:r>
          </w:p>
        </w:tc>
        <w:tc>
          <w:tcPr>
            <w:tcW w:type="dxa" w:w="3125"/>
            <w:shd w:fill="F7F9FC"/>
            <w:tcMar>
              <w:top w:w="100" w:type="dxa"/>
              <w:bottom w:w="100" w:type="dxa"/>
              <w:left w:w="180" w:type="dxa"/>
              <w:right w:w="180" w:type="dxa"/>
            </w:tcMar>
            <w:vAlign w:val="center"/>
          </w:tcPr>
          <w:p>
            <w:r>
              <w:rPr>
                <w:rFonts w:ascii="Calibri" w:hAnsi="Calibri"/>
                <w:color w:val="212529"/>
                <w:sz w:val="18"/>
              </w:rPr>
              <w:t>Elevada dedicación administrativa; riesgo de olvido de facturar horas extras consumidas fuera de abono.</w:t>
            </w:r>
          </w:p>
        </w:tc>
      </w:tr>
      <w:tr>
        <w:tc>
          <w:tcPr>
            <w:tcW w:type="dxa" w:w="2592"/>
            <w:shd w:fill="FFFFFF"/>
            <w:tcMar>
              <w:top w:w="100" w:type="dxa"/>
              <w:bottom w:w="100" w:type="dxa"/>
              <w:left w:w="180" w:type="dxa"/>
              <w:right w:w="180" w:type="dxa"/>
            </w:tcMar>
            <w:vAlign w:val="center"/>
          </w:tcPr>
          <w:p>
            <w:r>
              <w:rPr>
                <w:rFonts w:ascii="Calibri" w:hAnsi="Calibri"/>
                <w:color w:val="212529"/>
                <w:sz w:val="18"/>
              </w:rPr>
              <w:t>Garantías y RMA de Piezas</w:t>
            </w:r>
          </w:p>
        </w:tc>
        <w:tc>
          <w:tcPr>
            <w:tcW w:type="dxa" w:w="3312"/>
            <w:shd w:fill="FFFFFF"/>
            <w:tcMar>
              <w:top w:w="100" w:type="dxa"/>
              <w:bottom w:w="100" w:type="dxa"/>
              <w:left w:w="180" w:type="dxa"/>
              <w:right w:w="180" w:type="dxa"/>
            </w:tcMar>
            <w:vAlign w:val="center"/>
          </w:tcPr>
          <w:p>
            <w:r>
              <w:rPr>
                <w:rFonts w:ascii="Calibri" w:hAnsi="Calibri"/>
                <w:color w:val="212529"/>
                <w:sz w:val="18"/>
              </w:rPr>
              <w:t>El registro del número de serie y la fecha de compra se buscan en facturas históricas en PDF.</w:t>
            </w:r>
          </w:p>
        </w:tc>
        <w:tc>
          <w:tcPr>
            <w:tcW w:type="dxa" w:w="3125"/>
            <w:shd w:fill="FFFFFF"/>
            <w:tcMar>
              <w:top w:w="100" w:type="dxa"/>
              <w:bottom w:w="100" w:type="dxa"/>
              <w:left w:w="180" w:type="dxa"/>
              <w:right w:w="180" w:type="dxa"/>
            </w:tcMar>
            <w:vAlign w:val="center"/>
          </w:tcPr>
          <w:p>
            <w:r>
              <w:rPr>
                <w:rFonts w:ascii="Calibri" w:hAnsi="Calibri"/>
                <w:color w:val="212529"/>
                <w:sz w:val="18"/>
              </w:rPr>
              <w:t>Tiempo excesivo para validar si una avería de 1 o 2 años entra en garantía oficial o debe presupuestarse.</w:t>
            </w:r>
          </w:p>
        </w:tc>
      </w:tr>
    </w:tbl>
    <w:p>
      <w:pPr>
        <w:keepNext/>
        <w:spacing w:before="320" w:after="120"/>
      </w:pPr>
      <w:r>
        <w:rPr>
          <w:rFonts w:ascii="Calibri" w:hAnsi="Calibri"/>
          <w:b/>
          <w:color w:val="4DB7E3"/>
          <w:sz w:val="26"/>
        </w:rPr>
        <w:t>4.2. Riesgos Detectados en la Situación Actual</w:t>
      </w:r>
    </w:p>
    <w:p>
      <w:pPr>
        <w:pStyle w:val="ListBullet"/>
        <w:spacing w:before="0" w:after="80" w:line="276" w:lineRule="auto"/>
      </w:pPr>
      <w:r>
        <w:rPr>
          <w:rFonts w:ascii="Calibri" w:hAnsi="Calibri"/>
          <w:b/>
          <w:color w:val="212529"/>
          <w:sz w:val="20"/>
        </w:rPr>
        <w:t xml:space="preserve">Riesgo de Dependencia Personal: </w:t>
      </w:r>
      <w:r>
        <w:rPr>
          <w:rFonts w:ascii="Calibri" w:hAnsi="Calibri"/>
          <w:color w:val="212529"/>
          <w:sz w:val="20"/>
        </w:rPr>
        <w:t xml:space="preserve"> La dependencia del conocimiento personal de los técnicos para recordar historiales de averías de clientes limita la capacidad de incorporar nuevo personal sin una larga curva de aprendizaje.</w:t>
      </w:r>
    </w:p>
    <w:p>
      <w:pPr>
        <w:pStyle w:val="ListBullet"/>
        <w:spacing w:before="0" w:after="80" w:line="276" w:lineRule="auto"/>
      </w:pPr>
      <w:r>
        <w:rPr>
          <w:rFonts w:ascii="Calibri" w:hAnsi="Calibri"/>
          <w:b/>
          <w:color w:val="212529"/>
          <w:sz w:val="20"/>
        </w:rPr>
        <w:t xml:space="preserve">Riesgo de Cumplimiento RGPD: </w:t>
      </w:r>
      <w:r>
        <w:rPr>
          <w:rFonts w:ascii="Calibri" w:hAnsi="Calibri"/>
          <w:color w:val="212529"/>
          <w:sz w:val="20"/>
        </w:rPr>
        <w:t xml:space="preserve"> La dispersión de datos personales en emails y archivos locales genera desafíos de cumplimiento normativo respecto a los derechos de acceso, rectificación y supresión garantizados en la política de privacidad de la firma.</w:t>
      </w:r>
    </w:p>
    <w:p>
      <w:pPr>
        <w:pStyle w:val="ListBullet"/>
        <w:spacing w:before="0" w:after="80" w:line="276" w:lineRule="auto"/>
      </w:pPr>
      <w:r>
        <w:rPr>
          <w:rFonts w:ascii="Calibri" w:hAnsi="Calibri"/>
          <w:b/>
          <w:color w:val="212529"/>
          <w:sz w:val="20"/>
        </w:rPr>
        <w:t xml:space="preserve">Riesgo Financiero y de Stock: </w:t>
      </w:r>
      <w:r>
        <w:rPr>
          <w:rFonts w:ascii="Calibri" w:hAnsi="Calibri"/>
          <w:color w:val="212529"/>
          <w:sz w:val="20"/>
        </w:rPr>
        <w:t xml:space="preserve"> La falta de un cálculo de stock mínimo automatizado de tóners Brother/HP puede generar roturas de suministro imprevistas que afecten directamente al servicio técnico.</w:t>
      </w:r>
    </w:p>
    <w:p>
      <w:r>
        <w:br w:type="page"/>
      </w:r>
    </w:p>
    <w:p>
      <w:pPr>
        <w:keepNext/>
        <w:spacing w:before="440" w:after="160"/>
      </w:pPr>
      <w:r>
        <w:rPr>
          <w:rFonts w:ascii="Calibri" w:hAnsi="Calibri"/>
          <w:b/>
          <w:color w:val="1A3A6E"/>
          <w:sz w:val="34"/>
        </w:rPr>
        <w:t>5. MODELO OPERATIVO OBJETIVO ('TO-BE') Y ARQUITECTURA DE INFORMACIÓN</w:t>
      </w:r>
    </w:p>
    <w:p>
      <w:pPr>
        <w:spacing w:before="0" w:after="120" w:line="276" w:lineRule="auto"/>
      </w:pPr>
      <w:r>
        <w:rPr>
          <w:rFonts w:ascii="Calibri" w:hAnsi="Calibri"/>
          <w:color w:val="212529"/>
          <w:sz w:val="20"/>
        </w:rPr>
        <w:t>El modelo 'TO-BE' concibe a IMAX PC como una plataforma digital unificada e integrada. Cada interacción con el cliente (desde que visita la web, solicita una auditoría, deja un portátil en taller o imprime una página en su oficina) alimenta un único repositorio de datos operativo.</w:t>
      </w:r>
    </w:p>
    <w:p>
      <w:pPr>
        <w:keepNext/>
        <w:spacing w:before="320" w:after="120"/>
      </w:pPr>
      <w:r>
        <w:rPr>
          <w:rFonts w:ascii="Calibri" w:hAnsi="Calibri"/>
          <w:b/>
          <w:color w:val="4DB7E3"/>
          <w:sz w:val="26"/>
        </w:rPr>
        <w:t>5.1. Paradigma de Gestión Centralizada y en Tiempo Real</w:t>
      </w:r>
    </w:p>
    <w:p>
      <w:pPr>
        <w:spacing w:before="0" w:after="120" w:line="276" w:lineRule="auto"/>
      </w:pPr>
      <w:r>
        <w:rPr>
          <w:rFonts w:ascii="Calibri" w:hAnsi="Calibri"/>
          <w:color w:val="212529"/>
          <w:sz w:val="20"/>
        </w:rPr>
        <w:t>El nuevo ecosistema se articulará en torno a una única base de datos central que conectará en tiempo real el front-end web, las operaciones internas de taller y sistemas, y el back-office contable:</w:t>
      </w:r>
    </w:p>
    <w:tbl>
      <w:tblPr>
        <w:tblW w:type="auto" w:w="0"/>
        <w:tblLook w:firstColumn="1" w:firstRow="1" w:lastColumn="0" w:lastRow="0" w:noHBand="0" w:noVBand="1" w:val="04A0"/>
      </w:tblPr>
      <w:tblGrid>
        <w:gridCol w:w="4514"/>
        <w:gridCol w:w="4514"/>
      </w:tblGrid>
      <w:tr>
        <w:tc>
          <w:tcPr>
            <w:tcW w:type="dxa" w:w="2880"/>
            <w:shd w:fill="1A3A6E"/>
            <w:tcMar>
              <w:top w:w="140" w:type="dxa"/>
              <w:bottom w:w="140" w:type="dxa"/>
              <w:left w:w="180" w:type="dxa"/>
              <w:right w:w="180" w:type="dxa"/>
            </w:tcMar>
            <w:vAlign w:val="center"/>
          </w:tcPr>
          <w:p>
            <w:pPr>
              <w:jc w:val="left"/>
            </w:pPr>
            <w:r>
              <w:t>Capa de la Arquitectura</w:t>
            </w:r>
          </w:p>
        </w:tc>
        <w:tc>
          <w:tcPr>
            <w:tcW w:type="dxa" w:w="6149"/>
            <w:shd w:fill="1A3A6E"/>
            <w:tcMar>
              <w:top w:w="140" w:type="dxa"/>
              <w:bottom w:w="140" w:type="dxa"/>
              <w:left w:w="180" w:type="dxa"/>
              <w:right w:w="180" w:type="dxa"/>
            </w:tcMar>
            <w:vAlign w:val="center"/>
          </w:tcPr>
          <w:p>
            <w:pPr>
              <w:jc w:val="left"/>
            </w:pPr>
            <w:r>
              <w:t>Componentes e Integraciones Clave</w:t>
            </w:r>
          </w:p>
        </w:tc>
      </w:tr>
      <w:tr>
        <w:tc>
          <w:tcPr>
            <w:tcW w:type="dxa" w:w="2880"/>
            <w:shd w:fill="FFFFFF"/>
            <w:tcMar>
              <w:top w:w="100" w:type="dxa"/>
              <w:bottom w:w="100" w:type="dxa"/>
              <w:left w:w="180" w:type="dxa"/>
              <w:right w:w="180" w:type="dxa"/>
            </w:tcMar>
            <w:vAlign w:val="center"/>
          </w:tcPr>
          <w:p>
            <w:r>
              <w:rPr>
                <w:rFonts w:ascii="Calibri" w:hAnsi="Calibri"/>
                <w:color w:val="212529"/>
                <w:sz w:val="18"/>
              </w:rPr>
              <w:t>Capa de Canal y Experiencia (Front-End)</w:t>
            </w:r>
          </w:p>
        </w:tc>
        <w:tc>
          <w:tcPr>
            <w:tcW w:type="dxa" w:w="6149"/>
            <w:shd w:fill="FFFFFF"/>
            <w:tcMar>
              <w:top w:w="100" w:type="dxa"/>
              <w:bottom w:w="100" w:type="dxa"/>
              <w:left w:w="180" w:type="dxa"/>
              <w:right w:w="180" w:type="dxa"/>
            </w:tcMar>
            <w:vAlign w:val="center"/>
          </w:tcPr>
          <w:p>
            <w:r>
              <w:rPr>
                <w:rFonts w:ascii="Calibri" w:hAnsi="Calibri"/>
                <w:color w:val="212529"/>
                <w:sz w:val="18"/>
              </w:rPr>
              <w:t>Sitio Web Corporativo Vue 3, Portal de Autoservicio del Cliente (Tickets, Facturas, Estado de Reparación) y Formularios Inteligentes de Auditoría.</w:t>
            </w:r>
          </w:p>
        </w:tc>
      </w:tr>
      <w:tr>
        <w:tc>
          <w:tcPr>
            <w:tcW w:type="dxa" w:w="2880"/>
            <w:shd w:fill="F7F9FC"/>
            <w:tcMar>
              <w:top w:w="100" w:type="dxa"/>
              <w:bottom w:w="100" w:type="dxa"/>
              <w:left w:w="180" w:type="dxa"/>
              <w:right w:w="180" w:type="dxa"/>
            </w:tcMar>
            <w:vAlign w:val="center"/>
          </w:tcPr>
          <w:p>
            <w:r>
              <w:rPr>
                <w:rFonts w:ascii="Calibri" w:hAnsi="Calibri"/>
                <w:color w:val="212529"/>
                <w:sz w:val="18"/>
              </w:rPr>
              <w:t>Capa de Integración y API Middleware</w:t>
            </w:r>
          </w:p>
        </w:tc>
        <w:tc>
          <w:tcPr>
            <w:tcW w:type="dxa" w:w="6149"/>
            <w:shd w:fill="F7F9FC"/>
            <w:tcMar>
              <w:top w:w="100" w:type="dxa"/>
              <w:bottom w:w="100" w:type="dxa"/>
              <w:left w:w="180" w:type="dxa"/>
              <w:right w:w="180" w:type="dxa"/>
            </w:tcMar>
            <w:vAlign w:val="center"/>
          </w:tcPr>
          <w:p>
            <w:r>
              <w:rPr>
                <w:rFonts w:ascii="Calibri" w:hAnsi="Calibri"/>
                <w:color w:val="212529"/>
                <w:sz w:val="18"/>
              </w:rPr>
              <w:t>API Gateway REST segura, Webhooks de eventos, pasarela de cobros Redsys, integración con servicios de mensajería para devoluciones y recogidas.</w:t>
            </w:r>
          </w:p>
        </w:tc>
      </w:tr>
      <w:tr>
        <w:tc>
          <w:tcPr>
            <w:tcW w:type="dxa" w:w="2880"/>
            <w:shd w:fill="FFFFFF"/>
            <w:tcMar>
              <w:top w:w="100" w:type="dxa"/>
              <w:bottom w:w="100" w:type="dxa"/>
              <w:left w:w="180" w:type="dxa"/>
              <w:right w:w="180" w:type="dxa"/>
            </w:tcMar>
            <w:vAlign w:val="center"/>
          </w:tcPr>
          <w:p>
            <w:r>
              <w:rPr>
                <w:rFonts w:ascii="Calibri" w:hAnsi="Calibri"/>
                <w:color w:val="212529"/>
                <w:sz w:val="18"/>
              </w:rPr>
              <w:t>Núcleo Transaccional (ERP / CRM)</w:t>
            </w:r>
          </w:p>
        </w:tc>
        <w:tc>
          <w:tcPr>
            <w:tcW w:type="dxa" w:w="6149"/>
            <w:shd w:fill="FFFFFF"/>
            <w:tcMar>
              <w:top w:w="100" w:type="dxa"/>
              <w:bottom w:w="100" w:type="dxa"/>
              <w:left w:w="180" w:type="dxa"/>
              <w:right w:w="180" w:type="dxa"/>
            </w:tcMar>
            <w:vAlign w:val="center"/>
          </w:tcPr>
          <w:p>
            <w:r>
              <w:rPr>
                <w:rFonts w:ascii="Calibri" w:hAnsi="Calibri"/>
                <w:color w:val="212529"/>
                <w:sz w:val="18"/>
              </w:rPr>
              <w:t>Motor de base de datos relacional con módulos de CRM comercial, SAT Taller, Inventario/WMS, Contratos de Impresión, Facturación periódica y Finanzas.</w:t>
            </w:r>
          </w:p>
        </w:tc>
      </w:tr>
      <w:tr>
        <w:tc>
          <w:tcPr>
            <w:tcW w:type="dxa" w:w="2880"/>
            <w:shd w:fill="F7F9FC"/>
            <w:tcMar>
              <w:top w:w="100" w:type="dxa"/>
              <w:bottom w:w="100" w:type="dxa"/>
              <w:left w:w="180" w:type="dxa"/>
              <w:right w:w="180" w:type="dxa"/>
            </w:tcMar>
            <w:vAlign w:val="center"/>
          </w:tcPr>
          <w:p>
            <w:r>
              <w:rPr>
                <w:rFonts w:ascii="Calibri" w:hAnsi="Calibri"/>
                <w:color w:val="212529"/>
                <w:sz w:val="18"/>
              </w:rPr>
              <w:t>Capa Analítica y de Productividad</w:t>
            </w:r>
          </w:p>
        </w:tc>
        <w:tc>
          <w:tcPr>
            <w:tcW w:type="dxa" w:w="6149"/>
            <w:shd w:fill="F7F9FC"/>
            <w:tcMar>
              <w:top w:w="100" w:type="dxa"/>
              <w:bottom w:w="100" w:type="dxa"/>
              <w:left w:w="180" w:type="dxa"/>
              <w:right w:w="180" w:type="dxa"/>
            </w:tcMar>
            <w:vAlign w:val="center"/>
          </w:tcPr>
          <w:p>
            <w:r>
              <w:rPr>
                <w:rFonts w:ascii="Calibri" w:hAnsi="Calibri"/>
                <w:color w:val="212529"/>
                <w:sz w:val="18"/>
              </w:rPr>
              <w:t>Conectores nativos con Microsoft 365 Graph, telemetría de monitorización de servidores, Power BI y Agentes de Datos (Data Agents) sobre Microsoft Fabric.</w:t>
            </w:r>
          </w:p>
        </w:tc>
      </w:tr>
    </w:tbl>
    <w:tbl>
      <w:tblPr>
        <w:tblW w:type="auto" w:w="0"/>
        <w:jc w:val="center"/>
        <w:tblLayout w:type="fixed"/>
        <w:tblLook w:firstColumn="1" w:firstRow="1" w:lastColumn="0" w:lastRow="0" w:noHBand="0" w:noVBand="1" w:val="04A0"/>
      </w:tblPr>
      <w:tblGrid>
        <w:gridCol w:w="9029"/>
      </w:tblGrid>
      <w:tr>
        <w:tc>
          <w:tcPr>
            <w:tcW w:type="dxa" w:w="9029"/>
            <w:shd w:fill="F0F4F8"/>
            <w:tcBorders>
              <w:left w:val="single" w:sz="36" w:space="0" w:color="4DB7E3"/>
              <w:top w:val="none"/>
              <w:right w:val="none"/>
              <w:bottom w:val="none"/>
            </w:tcBorders>
            <w:tcMar>
              <w:top w:w="140" w:type="dxa"/>
              <w:bottom w:w="140" w:type="dxa"/>
              <w:left w:w="200" w:type="dxa"/>
              <w:right w:w="180" w:type="dxa"/>
            </w:tcMar>
          </w:tcPr>
          <w:p>
            <w:pPr>
              <w:spacing w:before="80" w:after="80" w:line="276" w:lineRule="auto"/>
            </w:pPr>
            <w:r>
              <w:rPr>
                <w:rFonts w:ascii="Calibri" w:hAnsi="Calibri"/>
                <w:b/>
                <w:color w:val="1A3A6E"/>
                <w:sz w:val="21"/>
              </w:rPr>
              <w:t>Regla de Arquitectura de Información:</w:t>
              <w:br/>
            </w:r>
            <w:r>
              <w:rPr>
                <w:rFonts w:ascii="Calibri" w:hAnsi="Calibri"/>
                <w:color w:val="212529"/>
                <w:sz w:val="19"/>
              </w:rPr>
              <w:t>Principio de Dato Único: Un cliente sólo se da de alta una vez. Desde su registro inicial en el CRM, el mismo registro gestiona sus equipos en mantenimiento, sus impresoras asignadas, sus órdenes de reparación en taller, sus tickets de asistencia remota y sus facturas recurrentes.</w:t>
            </w:r>
          </w:p>
        </w:tc>
      </w:tr>
    </w:tbl>
    <w:p/>
    <w:p>
      <w:r>
        <w:br w:type="page"/>
      </w:r>
    </w:p>
    <w:p>
      <w:pPr>
        <w:keepNext/>
        <w:spacing w:before="440" w:after="160"/>
      </w:pPr>
      <w:r>
        <w:rPr>
          <w:rFonts w:ascii="Calibri" w:hAnsi="Calibri"/>
          <w:b/>
          <w:color w:val="1A3A6E"/>
          <w:sz w:val="34"/>
        </w:rPr>
        <w:t>6. ESPECIFICACIÓN FUNCIONAL DEL ECOSISTEMA ERP / CRM</w:t>
      </w:r>
    </w:p>
    <w:p>
      <w:pPr>
        <w:spacing w:before="0" w:after="120" w:line="276" w:lineRule="auto"/>
      </w:pPr>
      <w:r>
        <w:rPr>
          <w:rFonts w:ascii="Calibri" w:hAnsi="Calibri"/>
          <w:color w:val="212529"/>
          <w:sz w:val="20"/>
        </w:rPr>
        <w:t>A continuación se detallan los requerimientos funcionales organizados en los siete módulos indispensables identificados por el equipo consultor:</w:t>
      </w:r>
    </w:p>
    <w:p>
      <w:pPr>
        <w:keepNext/>
        <w:spacing w:before="320" w:after="120"/>
      </w:pPr>
      <w:r>
        <w:rPr>
          <w:rFonts w:ascii="Calibri" w:hAnsi="Calibri"/>
          <w:b/>
          <w:color w:val="4DB7E3"/>
          <w:sz w:val="26"/>
        </w:rPr>
        <w:t>6.1. Módulo 1: CRM Comercial, Gestión de Cuentas y Pipeline de Ventas</w:t>
      </w:r>
    </w:p>
    <w:p>
      <w:pPr>
        <w:pStyle w:val="ListBullet"/>
        <w:spacing w:before="0" w:after="80" w:line="276" w:lineRule="auto"/>
      </w:pPr>
      <w:r>
        <w:rPr>
          <w:rFonts w:ascii="Calibri" w:hAnsi="Calibri"/>
          <w:b/>
          <w:color w:val="212529"/>
          <w:sz w:val="20"/>
        </w:rPr>
        <w:t xml:space="preserve">RF-1.1 Captación Automatizada de Oportunidades: </w:t>
      </w:r>
      <w:r>
        <w:rPr>
          <w:rFonts w:ascii="Calibri" w:hAnsi="Calibri"/>
          <w:color w:val="212529"/>
          <w:sz w:val="20"/>
        </w:rPr>
        <w:t xml:space="preserve"> Ingesta automática en el CRM de las solicitudes recibidas en la web corporativa (Auditorías Gratuitas de Mantenimiento, Solicitud de Presupuesto de Equipos a Medida, Consultas de Pago por Uso y Licencias Microsoft 365).</w:t>
      </w:r>
    </w:p>
    <w:p>
      <w:pPr>
        <w:pStyle w:val="ListBullet"/>
        <w:spacing w:before="0" w:after="80" w:line="276" w:lineRule="auto"/>
      </w:pPr>
      <w:r>
        <w:rPr>
          <w:rFonts w:ascii="Calibri" w:hAnsi="Calibri"/>
          <w:b/>
          <w:color w:val="212529"/>
          <w:sz w:val="20"/>
        </w:rPr>
        <w:t xml:space="preserve">RF-1.2 Visión 360° del Cliente Corporativo y Particular: </w:t>
      </w:r>
      <w:r>
        <w:rPr>
          <w:rFonts w:ascii="Calibri" w:hAnsi="Calibri"/>
          <w:color w:val="212529"/>
          <w:sz w:val="20"/>
        </w:rPr>
        <w:t xml:space="preserve"> Ficha única con Razón Social, CIF, contactos, dirección de entrega/instalación, condiciones de pago, histórico completo de tickets y parque informático asociado.</w:t>
      </w:r>
    </w:p>
    <w:p>
      <w:pPr>
        <w:pStyle w:val="ListBullet"/>
        <w:spacing w:before="0" w:after="80" w:line="276" w:lineRule="auto"/>
      </w:pPr>
      <w:r>
        <w:rPr>
          <w:rFonts w:ascii="Calibri" w:hAnsi="Calibri"/>
          <w:b/>
          <w:color w:val="212529"/>
          <w:sz w:val="20"/>
        </w:rPr>
        <w:t xml:space="preserve">RF-1.3 Pipeline de Ventas por Línea de Negocio: </w:t>
      </w:r>
      <w:r>
        <w:rPr>
          <w:rFonts w:ascii="Calibri" w:hAnsi="Calibri"/>
          <w:color w:val="212529"/>
          <w:sz w:val="20"/>
        </w:rPr>
        <w:t xml:space="preserve"> Visualización gráfica de etapas: Prospecto -&gt; Auditoría Realizada -&gt; Oferta Presentada -&gt; En Negociación -&gt; Ganada / Contrato Activo.</w:t>
      </w:r>
    </w:p>
    <w:p>
      <w:pPr>
        <w:pStyle w:val="ListBullet"/>
        <w:spacing w:before="0" w:after="80" w:line="276" w:lineRule="auto"/>
      </w:pPr>
      <w:r>
        <w:rPr>
          <w:rFonts w:ascii="Calibri" w:hAnsi="Calibri"/>
          <w:b/>
          <w:color w:val="212529"/>
          <w:sz w:val="20"/>
        </w:rPr>
        <w:t xml:space="preserve">RF-1.4 Presupuestador de Hardware y Servicios: </w:t>
      </w:r>
      <w:r>
        <w:rPr>
          <w:rFonts w:ascii="Calibri" w:hAnsi="Calibri"/>
          <w:color w:val="212529"/>
          <w:sz w:val="20"/>
        </w:rPr>
        <w:t xml:space="preserve"> Generación de ofertas de equipos a medida o contratos en PDF corporativo con firma digital integrada.</w:t>
      </w:r>
    </w:p>
    <w:p>
      <w:pPr>
        <w:pStyle w:val="ListBullet"/>
        <w:spacing w:before="0" w:after="80" w:line="276" w:lineRule="auto"/>
      </w:pPr>
      <w:r>
        <w:rPr>
          <w:rFonts w:ascii="Calibri" w:hAnsi="Calibri"/>
          <w:b/>
          <w:color w:val="212529"/>
          <w:sz w:val="20"/>
        </w:rPr>
        <w:t xml:space="preserve">RF-1.5 Portal Web de Clientes: </w:t>
      </w:r>
      <w:r>
        <w:rPr>
          <w:rFonts w:ascii="Calibri" w:hAnsi="Calibri"/>
          <w:color w:val="212529"/>
          <w:sz w:val="20"/>
        </w:rPr>
        <w:t xml:space="preserve"> Extranet privada donde los clientes acceden a consultar el estado de sus reparaciones en taller, descargar facturas, abrir incidencias y revisar informes mensuales.</w:t>
      </w:r>
    </w:p>
    <w:p>
      <w:pPr>
        <w:keepNext/>
        <w:spacing w:before="320" w:after="120"/>
      </w:pPr>
      <w:r>
        <w:rPr>
          <w:rFonts w:ascii="Calibri" w:hAnsi="Calibri"/>
          <w:b/>
          <w:color w:val="4DB7E3"/>
          <w:sz w:val="26"/>
        </w:rPr>
        <w:t>6.2. Módulo 2: Servicio Técnico (SAT), Taller y Gestión de Incidencias</w:t>
      </w:r>
    </w:p>
    <w:p>
      <w:pPr>
        <w:pStyle w:val="ListBullet"/>
        <w:spacing w:before="0" w:after="80" w:line="276" w:lineRule="auto"/>
      </w:pPr>
      <w:r>
        <w:rPr>
          <w:rFonts w:ascii="Calibri" w:hAnsi="Calibri"/>
          <w:b/>
          <w:color w:val="212529"/>
          <w:sz w:val="20"/>
        </w:rPr>
        <w:t xml:space="preserve">RF-2.1 Admisión y Etiquetado en Taller: </w:t>
      </w:r>
      <w:r>
        <w:rPr>
          <w:rFonts w:ascii="Calibri" w:hAnsi="Calibri"/>
          <w:color w:val="212529"/>
          <w:sz w:val="20"/>
        </w:rPr>
        <w:t xml:space="preserve"> Generación de etiqueta identificativa con código de barras y código QR único al recepcionar cualquier ordenador o impresora en C/ Ardemans, 35, conteniendo número de serie, accesorios entregados y sintomatología reportada.</w:t>
      </w:r>
    </w:p>
    <w:p>
      <w:pPr>
        <w:pStyle w:val="ListBullet"/>
        <w:spacing w:before="0" w:after="80" w:line="276" w:lineRule="auto"/>
      </w:pPr>
      <w:r>
        <w:rPr>
          <w:rFonts w:ascii="Calibri" w:hAnsi="Calibri"/>
          <w:b/>
          <w:color w:val="212529"/>
          <w:sz w:val="20"/>
        </w:rPr>
        <w:t xml:space="preserve">RF-2.2 Flujo de Diagnóstico y Presupuesto Taller: </w:t>
      </w:r>
      <w:r>
        <w:rPr>
          <w:rFonts w:ascii="Calibri" w:hAnsi="Calibri"/>
          <w:color w:val="212529"/>
          <w:sz w:val="20"/>
        </w:rPr>
        <w:t xml:space="preserve"> Registro de pruebas en banco de trabajo, componentes sustituidos, tiempo técnico imputado y emisión automática del presupuesto de reparación.</w:t>
      </w:r>
    </w:p>
    <w:p>
      <w:pPr>
        <w:pStyle w:val="ListBullet"/>
        <w:spacing w:before="0" w:after="80" w:line="276" w:lineRule="auto"/>
      </w:pPr>
      <w:r>
        <w:rPr>
          <w:rFonts w:ascii="Calibri" w:hAnsi="Calibri"/>
          <w:b/>
          <w:color w:val="212529"/>
          <w:sz w:val="20"/>
        </w:rPr>
        <w:t xml:space="preserve">RF-2.3 Notificaciones Multicanal al Cliente: </w:t>
      </w:r>
      <w:r>
        <w:rPr>
          <w:rFonts w:ascii="Calibri" w:hAnsi="Calibri"/>
          <w:color w:val="212529"/>
          <w:sz w:val="20"/>
        </w:rPr>
        <w:t xml:space="preserve"> Alertas automáticas por SMS/Email al cliente cuando su presupuesto está listo para aprobación digital y cuando el equipo está completamente reparado y validado para entrega.</w:t>
      </w:r>
    </w:p>
    <w:p>
      <w:pPr>
        <w:pStyle w:val="ListBullet"/>
        <w:spacing w:before="0" w:after="80" w:line="276" w:lineRule="auto"/>
      </w:pPr>
      <w:r>
        <w:rPr>
          <w:rFonts w:ascii="Calibri" w:hAnsi="Calibri"/>
          <w:b/>
          <w:color w:val="212529"/>
          <w:sz w:val="20"/>
        </w:rPr>
        <w:t xml:space="preserve">RF-2.4 Gestión de SLAs y Mesa de Ayuda (Helpdesk): </w:t>
      </w:r>
      <w:r>
        <w:rPr>
          <w:rFonts w:ascii="Calibri" w:hAnsi="Calibri"/>
          <w:color w:val="212529"/>
          <w:sz w:val="20"/>
        </w:rPr>
        <w:t xml:space="preserve"> Control exhaustivo de cumplimiento de tiempos de respuesta: alerta visual roja si una incidencia urgente supera los 10 minutos sin asignación (para cumplir el compromiso de &lt;15 min) y control de cierre en &lt;2 horas.</w:t>
      </w:r>
    </w:p>
    <w:p>
      <w:pPr>
        <w:pStyle w:val="ListBullet"/>
        <w:spacing w:before="0" w:after="80" w:line="276" w:lineRule="auto"/>
      </w:pPr>
      <w:r>
        <w:rPr>
          <w:rFonts w:ascii="Calibri" w:hAnsi="Calibri"/>
          <w:b/>
          <w:color w:val="212529"/>
          <w:sz w:val="20"/>
        </w:rPr>
        <w:t xml:space="preserve">RF-2.5 Despacho y Asignación de Visitas Presenciales: </w:t>
      </w:r>
      <w:r>
        <w:rPr>
          <w:rFonts w:ascii="Calibri" w:hAnsi="Calibri"/>
          <w:color w:val="212529"/>
          <w:sz w:val="20"/>
        </w:rPr>
        <w:t xml:space="preserve"> Planificación de rutas y partes de trabajo móviles para técnicos que realizan intervenciones in-situ en oficinas clientes, con firma del albarán digital en tablet/smartphone.</w:t>
      </w:r>
    </w:p>
    <w:p>
      <w:pPr>
        <w:pStyle w:val="ListBullet"/>
        <w:spacing w:before="0" w:after="80" w:line="276" w:lineRule="auto"/>
      </w:pPr>
      <w:r>
        <w:rPr>
          <w:rFonts w:ascii="Calibri" w:hAnsi="Calibri"/>
          <w:b/>
          <w:color w:val="212529"/>
          <w:sz w:val="20"/>
        </w:rPr>
        <w:t xml:space="preserve">RF-2.6 Checklist de Procedimiento de Mantenimiento: </w:t>
      </w:r>
      <w:r>
        <w:rPr>
          <w:rFonts w:ascii="Calibri" w:hAnsi="Calibri"/>
          <w:color w:val="212529"/>
          <w:sz w:val="20"/>
        </w:rPr>
        <w:t xml:space="preserve"> Registro de los 5 pasos del onboarding de mantenimiento corporativo en checklist interactiva dentro de la ficha de cada cliente.</w:t>
      </w:r>
    </w:p>
    <w:p>
      <w:pPr>
        <w:keepNext/>
        <w:spacing w:before="320" w:after="120"/>
      </w:pPr>
      <w:r>
        <w:rPr>
          <w:rFonts w:ascii="Calibri" w:hAnsi="Calibri"/>
          <w:b/>
          <w:color w:val="4DB7E3"/>
          <w:sz w:val="26"/>
        </w:rPr>
        <w:t>6.3. Módulo 3: Compras, Inventario (WMS), Trazabilidad y Garantías RMA</w:t>
      </w:r>
    </w:p>
    <w:p>
      <w:pPr>
        <w:pStyle w:val="ListBullet"/>
        <w:spacing w:before="0" w:after="80" w:line="276" w:lineRule="auto"/>
      </w:pPr>
      <w:r>
        <w:rPr>
          <w:rFonts w:ascii="Calibri" w:hAnsi="Calibri"/>
          <w:b/>
          <w:color w:val="212529"/>
          <w:sz w:val="20"/>
        </w:rPr>
        <w:t xml:space="preserve">RF-3.1 Catálogo Maestro de Artículos y Recambios: </w:t>
      </w:r>
      <w:r>
        <w:rPr>
          <w:rFonts w:ascii="Calibri" w:hAnsi="Calibri"/>
          <w:color w:val="212529"/>
          <w:sz w:val="20"/>
        </w:rPr>
        <w:t xml:space="preserve"> Registro centralizado de impresoras Brother/HP, consumibles originales estándar y XL, discos SSD, memorias RAM, periféricos Logitech y componentes de red.</w:t>
      </w:r>
    </w:p>
    <w:p>
      <w:pPr>
        <w:pStyle w:val="ListBullet"/>
        <w:spacing w:before="0" w:after="80" w:line="276" w:lineRule="auto"/>
      </w:pPr>
      <w:r>
        <w:rPr>
          <w:rFonts w:ascii="Calibri" w:hAnsi="Calibri"/>
          <w:b/>
          <w:color w:val="212529"/>
          <w:sz w:val="20"/>
        </w:rPr>
        <w:t xml:space="preserve">RF-3.2 Control de Stock Multi-Ubicación: </w:t>
      </w:r>
      <w:r>
        <w:rPr>
          <w:rFonts w:ascii="Calibri" w:hAnsi="Calibri"/>
          <w:color w:val="212529"/>
          <w:sz w:val="20"/>
        </w:rPr>
        <w:t xml:space="preserve"> Control en tiempo real de existencias en: Almacén Central (Ardemans, 35), Banco de Trabajo Taller y Furgonetas Técnicas de Asistencia.</w:t>
      </w:r>
    </w:p>
    <w:p>
      <w:pPr>
        <w:pStyle w:val="ListBullet"/>
        <w:spacing w:before="0" w:after="80" w:line="276" w:lineRule="auto"/>
      </w:pPr>
      <w:r>
        <w:rPr>
          <w:rFonts w:ascii="Calibri" w:hAnsi="Calibri"/>
          <w:b/>
          <w:color w:val="212529"/>
          <w:sz w:val="20"/>
        </w:rPr>
        <w:t xml:space="preserve">RF-3.3 Trazabilidad Serializada (Serial Numbers): </w:t>
      </w:r>
      <w:r>
        <w:rPr>
          <w:rFonts w:ascii="Calibri" w:hAnsi="Calibri"/>
          <w:color w:val="212529"/>
          <w:sz w:val="20"/>
        </w:rPr>
        <w:t xml:space="preserve"> Asignación obligatoria de número de serie a equipos y componentes clave para controlar con exactitud la fecha de compra, fecha de entrega y plazo de garantía legal vigente.</w:t>
      </w:r>
    </w:p>
    <w:p>
      <w:pPr>
        <w:pStyle w:val="ListBullet"/>
        <w:spacing w:before="0" w:after="80" w:line="276" w:lineRule="auto"/>
      </w:pPr>
      <w:r>
        <w:rPr>
          <w:rFonts w:ascii="Calibri" w:hAnsi="Calibri"/>
          <w:b/>
          <w:color w:val="212529"/>
          <w:sz w:val="20"/>
        </w:rPr>
        <w:t xml:space="preserve">RF-3.4 Alertas de Punto de Pedido y Rotura de Stock: </w:t>
      </w:r>
      <w:r>
        <w:rPr>
          <w:rFonts w:ascii="Calibri" w:hAnsi="Calibri"/>
          <w:color w:val="212529"/>
          <w:sz w:val="20"/>
        </w:rPr>
        <w:t xml:space="preserve"> Notificaciones automáticas de reposición cuando el stock de tóners o discos de alta rotación desciende por debajo de umbrales predefinidos.</w:t>
      </w:r>
    </w:p>
    <w:p>
      <w:pPr>
        <w:pStyle w:val="ListBullet"/>
        <w:spacing w:before="0" w:after="80" w:line="276" w:lineRule="auto"/>
      </w:pPr>
      <w:r>
        <w:rPr>
          <w:rFonts w:ascii="Calibri" w:hAnsi="Calibri"/>
          <w:b/>
          <w:color w:val="212529"/>
          <w:sz w:val="20"/>
        </w:rPr>
        <w:t xml:space="preserve">RF-3.5 Gestión Integral de Garantías y RMA: </w:t>
      </w:r>
      <w:r>
        <w:rPr>
          <w:rFonts w:ascii="Calibri" w:hAnsi="Calibri"/>
          <w:color w:val="212529"/>
          <w:sz w:val="20"/>
        </w:rPr>
        <w:t xml:space="preserve"> Módulo para gestionar devoluciones de clientes bajo las 3 tipologías comerciales oficiales de IMAX PC (1: Desistimiento 14 días; 2: Daños de transporte &lt;24h; 3: Garantía legal 2 años/1 año). Generación de números de autorización de devolución (RMA) y gestión de expedición hacia mayoristas/fabricantes.</w:t>
      </w:r>
    </w:p>
    <w:p>
      <w:pPr>
        <w:keepNext/>
        <w:spacing w:before="320" w:after="120"/>
      </w:pPr>
      <w:r>
        <w:rPr>
          <w:rFonts w:ascii="Calibri" w:hAnsi="Calibri"/>
          <w:b/>
          <w:color w:val="4DB7E3"/>
          <w:sz w:val="26"/>
        </w:rPr>
        <w:t>6.4. Módulo 4: Gestión de Sistemas de Impresión y Pago por Uso (Coste por Copia)</w:t>
      </w:r>
    </w:p>
    <w:p>
      <w:pPr>
        <w:pStyle w:val="ListBullet"/>
        <w:spacing w:before="0" w:after="80" w:line="276" w:lineRule="auto"/>
      </w:pPr>
      <w:r>
        <w:rPr>
          <w:rFonts w:ascii="Calibri" w:hAnsi="Calibri"/>
          <w:b/>
          <w:color w:val="212529"/>
          <w:sz w:val="20"/>
        </w:rPr>
        <w:t xml:space="preserve">RF-4.1 Inventario de Parque de Impresoras Instalado: </w:t>
      </w:r>
      <w:r>
        <w:rPr>
          <w:rFonts w:ascii="Calibri" w:hAnsi="Calibri"/>
          <w:color w:val="212529"/>
          <w:sz w:val="20"/>
        </w:rPr>
        <w:t xml:space="preserve"> Ficha técnica de cada máquina instalada en cliente (marca, modelo, número de serie, dirección IP, ubicación física de oficina y fecha de instalación).</w:t>
      </w:r>
    </w:p>
    <w:p>
      <w:pPr>
        <w:pStyle w:val="ListBullet"/>
        <w:spacing w:before="0" w:after="80" w:line="276" w:lineRule="auto"/>
      </w:pPr>
      <w:r>
        <w:rPr>
          <w:rFonts w:ascii="Calibri" w:hAnsi="Calibri"/>
          <w:b/>
          <w:color w:val="212529"/>
          <w:sz w:val="20"/>
        </w:rPr>
        <w:t xml:space="preserve">RF-4.2 Registro y Captura de Contadores: </w:t>
      </w:r>
      <w:r>
        <w:rPr>
          <w:rFonts w:ascii="Calibri" w:hAnsi="Calibri"/>
          <w:color w:val="212529"/>
          <w:sz w:val="20"/>
        </w:rPr>
        <w:t xml:space="preserve"> Posibilidad de lectura remota de contadores (vía SNMP / agentes de monitorización) o formulario rápido de introducción manual de contadores de páginas en blanco y negro y en color.</w:t>
      </w:r>
    </w:p>
    <w:p>
      <w:pPr>
        <w:pStyle w:val="ListBullet"/>
        <w:spacing w:before="0" w:after="80" w:line="276" w:lineRule="auto"/>
      </w:pPr>
      <w:r>
        <w:rPr>
          <w:rFonts w:ascii="Calibri" w:hAnsi="Calibri"/>
          <w:b/>
          <w:color w:val="212529"/>
          <w:sz w:val="20"/>
        </w:rPr>
        <w:t xml:space="preserve">RF-4.3 Motor de Facturación por Consumo: </w:t>
      </w:r>
      <w:r>
        <w:rPr>
          <w:rFonts w:ascii="Calibri" w:hAnsi="Calibri"/>
          <w:color w:val="212529"/>
          <w:sz w:val="20"/>
        </w:rPr>
        <w:t xml:space="preserve"> Cálculo del importe mensual: (Páginas B/N x Precio página B/N) + (Páginas Color x Precio página Color) + Cuota fija de alquiler si procede.</w:t>
      </w:r>
    </w:p>
    <w:p>
      <w:pPr>
        <w:pStyle w:val="ListBullet"/>
        <w:spacing w:before="0" w:after="80" w:line="276" w:lineRule="auto"/>
      </w:pPr>
      <w:r>
        <w:rPr>
          <w:rFonts w:ascii="Calibri" w:hAnsi="Calibri"/>
          <w:b/>
          <w:color w:val="212529"/>
          <w:sz w:val="20"/>
        </w:rPr>
        <w:t xml:space="preserve">RF-4.4 Suministro Preventivo de Tóners: </w:t>
      </w:r>
      <w:r>
        <w:rPr>
          <w:rFonts w:ascii="Calibri" w:hAnsi="Calibri"/>
          <w:color w:val="212529"/>
          <w:sz w:val="20"/>
        </w:rPr>
        <w:t xml:space="preserve"> Generación de albaranes de salida de consumibles a coste cero para el cliente abonado a pago por uso, calculando el coste interno para deducir el margen bruto real por contrato.</w:t>
      </w:r>
    </w:p>
    <w:p>
      <w:pPr>
        <w:keepNext/>
        <w:spacing w:before="320" w:after="120"/>
      </w:pPr>
      <w:r>
        <w:rPr>
          <w:rFonts w:ascii="Calibri" w:hAnsi="Calibri"/>
          <w:b/>
          <w:color w:val="4DB7E3"/>
          <w:sz w:val="26"/>
        </w:rPr>
        <w:t>6.5. Módulo 5: Facturación Recurrente, Contratos de Mantenimiento y Cobros</w:t>
      </w:r>
    </w:p>
    <w:p>
      <w:pPr>
        <w:pStyle w:val="ListBullet"/>
        <w:spacing w:before="0" w:after="80" w:line="276" w:lineRule="auto"/>
      </w:pPr>
      <w:r>
        <w:rPr>
          <w:rFonts w:ascii="Calibri" w:hAnsi="Calibri"/>
          <w:b/>
          <w:color w:val="212529"/>
          <w:sz w:val="20"/>
        </w:rPr>
        <w:t xml:space="preserve">RF-5.1 Motor de Facturación Recurrente Automática: </w:t>
      </w:r>
      <w:r>
        <w:rPr>
          <w:rFonts w:ascii="Calibri" w:hAnsi="Calibri"/>
          <w:color w:val="212529"/>
          <w:sz w:val="20"/>
        </w:rPr>
        <w:t xml:space="preserve"> Emisión masiva mensual de cuotas de mantenimiento informático, contratos anuales y bonos de horas de soporte.</w:t>
      </w:r>
    </w:p>
    <w:p>
      <w:pPr>
        <w:pStyle w:val="ListBullet"/>
        <w:spacing w:before="0" w:after="80" w:line="276" w:lineRule="auto"/>
      </w:pPr>
      <w:r>
        <w:rPr>
          <w:rFonts w:ascii="Calibri" w:hAnsi="Calibri"/>
          <w:b/>
          <w:color w:val="212529"/>
          <w:sz w:val="20"/>
        </w:rPr>
        <w:t xml:space="preserve">RF-5.2 Gestión de Bonos de Horas: </w:t>
      </w:r>
      <w:r>
        <w:rPr>
          <w:rFonts w:ascii="Calibri" w:hAnsi="Calibri"/>
          <w:color w:val="212529"/>
          <w:sz w:val="20"/>
        </w:rPr>
        <w:t xml:space="preserve"> Deducción automática de minutos de asistencia remota o presencial según se van cerrando tickets de soporte asociados al bono del cliente.</w:t>
      </w:r>
    </w:p>
    <w:p>
      <w:pPr>
        <w:pStyle w:val="ListBullet"/>
        <w:spacing w:before="0" w:after="80" w:line="276" w:lineRule="auto"/>
      </w:pPr>
      <w:r>
        <w:rPr>
          <w:rFonts w:ascii="Calibri" w:hAnsi="Calibri"/>
          <w:b/>
          <w:color w:val="212529"/>
          <w:sz w:val="20"/>
        </w:rPr>
        <w:t xml:space="preserve">RF-5.3 Pasarela de Remesas Bancarias SEPA: </w:t>
      </w:r>
      <w:r>
        <w:rPr>
          <w:rFonts w:ascii="Calibri" w:hAnsi="Calibri"/>
          <w:color w:val="212529"/>
          <w:sz w:val="20"/>
        </w:rPr>
        <w:t xml:space="preserve"> Generación de ficheros de adeudo domiciliado conforme al estándar europeo SEPA (norma XML ISO 20022) para su envío directo a entidad bancaria.</w:t>
      </w:r>
    </w:p>
    <w:p>
      <w:pPr>
        <w:pStyle w:val="ListBullet"/>
        <w:spacing w:before="0" w:after="80" w:line="276" w:lineRule="auto"/>
      </w:pPr>
      <w:r>
        <w:rPr>
          <w:rFonts w:ascii="Calibri" w:hAnsi="Calibri"/>
          <w:b/>
          <w:color w:val="212529"/>
          <w:sz w:val="20"/>
        </w:rPr>
        <w:t xml:space="preserve">RF-5.4 Integración con Pasarela Redsys: </w:t>
      </w:r>
      <w:r>
        <w:rPr>
          <w:rFonts w:ascii="Calibri" w:hAnsi="Calibri"/>
          <w:color w:val="212529"/>
          <w:sz w:val="20"/>
        </w:rPr>
        <w:t xml:space="preserve"> Conciliación automática de cobros realizados mediante tarjeta de crédito vía Redsys en la web corporativa, garantizando que los datos bancarios no toquen los servidores internos.</w:t>
      </w:r>
    </w:p>
    <w:p>
      <w:pPr>
        <w:pStyle w:val="ListBullet"/>
        <w:spacing w:before="0" w:after="80" w:line="276" w:lineRule="auto"/>
      </w:pPr>
      <w:r>
        <w:rPr>
          <w:rFonts w:ascii="Calibri" w:hAnsi="Calibri"/>
          <w:b/>
          <w:color w:val="212529"/>
          <w:sz w:val="20"/>
        </w:rPr>
        <w:t xml:space="preserve">RF-5.5 Cumplimiento Fiscal y FacturaE: </w:t>
      </w:r>
      <w:r>
        <w:rPr>
          <w:rFonts w:ascii="Calibri" w:hAnsi="Calibri"/>
          <w:color w:val="212529"/>
          <w:sz w:val="20"/>
        </w:rPr>
        <w:t xml:space="preserve"> Adaptación nativa a la normativa española de facturación electrónica obligatoria B2B y requisitos de sistemas VeriFactu.</w:t>
      </w:r>
    </w:p>
    <w:p>
      <w:pPr>
        <w:keepNext/>
        <w:spacing w:before="320" w:after="120"/>
      </w:pPr>
      <w:r>
        <w:rPr>
          <w:rFonts w:ascii="Calibri" w:hAnsi="Calibri"/>
          <w:b/>
          <w:color w:val="4DB7E3"/>
          <w:sz w:val="26"/>
        </w:rPr>
        <w:t>6.6. Módulo 6: Gestión y Provisión de Licencias Cloud Microsoft</w:t>
      </w:r>
    </w:p>
    <w:p>
      <w:pPr>
        <w:pStyle w:val="ListBullet"/>
        <w:spacing w:before="0" w:after="80" w:line="276" w:lineRule="auto"/>
      </w:pPr>
      <w:r>
        <w:rPr>
          <w:rFonts w:ascii="Calibri" w:hAnsi="Calibri"/>
          <w:b/>
          <w:color w:val="212529"/>
          <w:sz w:val="20"/>
        </w:rPr>
        <w:t xml:space="preserve">RF-6.1 Catálogo de Licenciamiento CSP: </w:t>
      </w:r>
      <w:r>
        <w:rPr>
          <w:rFonts w:ascii="Calibri" w:hAnsi="Calibri"/>
          <w:color w:val="212529"/>
          <w:sz w:val="20"/>
        </w:rPr>
        <w:t xml:space="preserve"> Gestión de suscripciones Microsoft 365, planes de Copilot (Chat, Business a 21 USD, Enterprise a 30 USD), Add-ons de Defender y Purview (10 € o Bundle 15 €), y capacidades de Fabric.</w:t>
      </w:r>
    </w:p>
    <w:p>
      <w:pPr>
        <w:pStyle w:val="ListBullet"/>
        <w:spacing w:before="0" w:after="80" w:line="276" w:lineRule="auto"/>
      </w:pPr>
      <w:r>
        <w:rPr>
          <w:rFonts w:ascii="Calibri" w:hAnsi="Calibri"/>
          <w:b/>
          <w:color w:val="212529"/>
          <w:sz w:val="20"/>
        </w:rPr>
        <w:t xml:space="preserve">RF-6.2 Alertas de Vencimiento y Renovación: </w:t>
      </w:r>
      <w:r>
        <w:rPr>
          <w:rFonts w:ascii="Calibri" w:hAnsi="Calibri"/>
          <w:color w:val="212529"/>
          <w:sz w:val="20"/>
        </w:rPr>
        <w:t xml:space="preserve"> Registro de fechas de expiración de licencias anuales/mensuales y generación de recordatorios automáticos de renovación con 30 y 15 días de antelación.</w:t>
      </w:r>
    </w:p>
    <w:p>
      <w:pPr>
        <w:pStyle w:val="ListBullet"/>
        <w:spacing w:before="0" w:after="80" w:line="276" w:lineRule="auto"/>
      </w:pPr>
      <w:r>
        <w:rPr>
          <w:rFonts w:ascii="Calibri" w:hAnsi="Calibri"/>
          <w:b/>
          <w:color w:val="212529"/>
          <w:sz w:val="20"/>
        </w:rPr>
        <w:t xml:space="preserve">RF-6.3 Facturación Agrupada de Suscripciones: </w:t>
      </w:r>
      <w:r>
        <w:rPr>
          <w:rFonts w:ascii="Calibri" w:hAnsi="Calibri"/>
          <w:color w:val="212529"/>
          <w:sz w:val="20"/>
        </w:rPr>
        <w:t xml:space="preserve"> Repercusión automática del coste mensual de licencias contratadas en la factura periódica global del cliente.</w:t>
      </w:r>
    </w:p>
    <w:p>
      <w:pPr>
        <w:keepNext/>
        <w:spacing w:before="320" w:after="120"/>
      </w:pPr>
      <w:r>
        <w:rPr>
          <w:rFonts w:ascii="Calibri" w:hAnsi="Calibri"/>
          <w:b/>
          <w:color w:val="4DB7E3"/>
          <w:sz w:val="26"/>
        </w:rPr>
        <w:t>6.7. Módulo 7: Business Intelligence y Cuadro de Mando Integral (KPIs)</w:t>
      </w:r>
    </w:p>
    <w:p>
      <w:pPr>
        <w:pStyle w:val="ListBullet"/>
        <w:spacing w:before="0" w:after="80" w:line="276" w:lineRule="auto"/>
      </w:pPr>
      <w:r>
        <w:rPr>
          <w:rFonts w:ascii="Calibri" w:hAnsi="Calibri"/>
          <w:b/>
          <w:color w:val="212529"/>
          <w:sz w:val="20"/>
        </w:rPr>
        <w:t xml:space="preserve">RF-7.1 Cuadro de Mando Ejecutivo / Gerencial: </w:t>
      </w:r>
      <w:r>
        <w:rPr>
          <w:rFonts w:ascii="Calibri" w:hAnsi="Calibri"/>
          <w:color w:val="212529"/>
          <w:sz w:val="20"/>
        </w:rPr>
        <w:t xml:space="preserve"> Monitorización en tiempo real de Ingresos Recurrentes Mensuales (MRR), volumen facturado por taller, rentabilidad de contratos de impresión y margen bruto por línea de negocio.</w:t>
      </w:r>
    </w:p>
    <w:p>
      <w:pPr>
        <w:pStyle w:val="ListBullet"/>
        <w:spacing w:before="0" w:after="80" w:line="276" w:lineRule="auto"/>
      </w:pPr>
      <w:r>
        <w:rPr>
          <w:rFonts w:ascii="Calibri" w:hAnsi="Calibri"/>
          <w:b/>
          <w:color w:val="212529"/>
          <w:sz w:val="20"/>
        </w:rPr>
        <w:t xml:space="preserve">RF-7.2 Cuadro de Mando Operativo SAT: </w:t>
      </w:r>
      <w:r>
        <w:rPr>
          <w:rFonts w:ascii="Calibri" w:hAnsi="Calibri"/>
          <w:color w:val="212529"/>
          <w:sz w:val="20"/>
        </w:rPr>
        <w:t xml:space="preserve"> Tasa de cumplimiento de SLA (&lt;15 min / &lt;2h), número de tickets cerrados por técnico, tiempo medio de reparación en taller y porcentaje de averías resueltas en primera intervención.</w:t>
      </w:r>
    </w:p>
    <w:p>
      <w:pPr>
        <w:pStyle w:val="ListBullet"/>
        <w:spacing w:before="0" w:after="80" w:line="276" w:lineRule="auto"/>
      </w:pPr>
      <w:r>
        <w:rPr>
          <w:rFonts w:ascii="Calibri" w:hAnsi="Calibri"/>
          <w:b/>
          <w:color w:val="212529"/>
          <w:sz w:val="20"/>
        </w:rPr>
        <w:t xml:space="preserve">RF-7.3 Cuadro de Mando de Almacén y Compras: </w:t>
      </w:r>
      <w:r>
        <w:rPr>
          <w:rFonts w:ascii="Calibri" w:hAnsi="Calibri"/>
          <w:color w:val="212529"/>
          <w:sz w:val="20"/>
        </w:rPr>
        <w:t xml:space="preserve"> Rotación de stock, valor monetario del inventario inmovilizado, porcentaje de mermas y tiempo medio de resolución de garantías RMA con fabricantes.</w:t>
      </w:r>
    </w:p>
    <w:p>
      <w:r>
        <w:br w:type="page"/>
      </w:r>
    </w:p>
    <w:p>
      <w:pPr>
        <w:keepNext/>
        <w:spacing w:before="440" w:after="160"/>
      </w:pPr>
      <w:r>
        <w:rPr>
          <w:rFonts w:ascii="Calibri" w:hAnsi="Calibri"/>
          <w:b/>
          <w:color w:val="1A3A6E"/>
          <w:sz w:val="34"/>
        </w:rPr>
        <w:t>7. REQUERIMIENTOS NO FUNCIONALES, SEGURIDAD Y ARQUITECTURA TÉCNICA</w:t>
      </w:r>
    </w:p>
    <w:p>
      <w:pPr>
        <w:spacing w:before="0" w:after="120" w:line="276" w:lineRule="auto"/>
      </w:pPr>
      <w:r>
        <w:rPr>
          <w:rFonts w:ascii="Calibri" w:hAnsi="Calibri"/>
          <w:color w:val="212529"/>
          <w:sz w:val="20"/>
        </w:rPr>
        <w:t>El sistema ERP/CRM deberá ajustarse a exigentes especificaciones técnicas y regulatorias para garantizar su disponibilidad y resiliencia:</w:t>
      </w:r>
    </w:p>
    <w:p>
      <w:pPr>
        <w:keepNext/>
        <w:spacing w:before="320" w:after="120"/>
      </w:pPr>
      <w:r>
        <w:rPr>
          <w:rFonts w:ascii="Calibri" w:hAnsi="Calibri"/>
          <w:b/>
          <w:color w:val="4DB7E3"/>
          <w:sz w:val="26"/>
        </w:rPr>
        <w:t>7.1. Arquitectura Técnica y Disponibilidad</w:t>
      </w:r>
    </w:p>
    <w:p>
      <w:pPr>
        <w:pStyle w:val="ListBullet"/>
        <w:spacing w:before="0" w:after="80" w:line="276" w:lineRule="auto"/>
      </w:pPr>
      <w:r>
        <w:rPr>
          <w:rFonts w:ascii="Calibri" w:hAnsi="Calibri"/>
          <w:b/>
          <w:color w:val="212529"/>
          <w:sz w:val="20"/>
        </w:rPr>
        <w:t xml:space="preserve">Disponibilidad del Sistema: </w:t>
      </w:r>
      <w:r>
        <w:rPr>
          <w:rFonts w:ascii="Calibri" w:hAnsi="Calibri"/>
          <w:color w:val="212529"/>
          <w:sz w:val="20"/>
        </w:rPr>
        <w:t xml:space="preserve"> Despliegue en infraestructura Cloud de alta disponibilidad (Tier III/IV) con disponibilidad contractual superior al 99.9% anual.</w:t>
      </w:r>
    </w:p>
    <w:p>
      <w:pPr>
        <w:pStyle w:val="ListBullet"/>
        <w:spacing w:before="0" w:after="80" w:line="276" w:lineRule="auto"/>
      </w:pPr>
      <w:r>
        <w:rPr>
          <w:rFonts w:ascii="Calibri" w:hAnsi="Calibri"/>
          <w:b/>
          <w:color w:val="212529"/>
          <w:sz w:val="20"/>
        </w:rPr>
        <w:t xml:space="preserve">Rendimiento y Tiempos de Carga: </w:t>
      </w:r>
      <w:r>
        <w:rPr>
          <w:rFonts w:ascii="Calibri" w:hAnsi="Calibri"/>
          <w:color w:val="212529"/>
          <w:sz w:val="20"/>
        </w:rPr>
        <w:t xml:space="preserve"> Interfaces web y de escritorio con tiempos de respuesta menores a 1.5 segundos en consultas transaccionales y menos de 3 segundos en generación de reportes complejos.</w:t>
      </w:r>
    </w:p>
    <w:p>
      <w:pPr>
        <w:pStyle w:val="ListBullet"/>
        <w:spacing w:before="0" w:after="80" w:line="276" w:lineRule="auto"/>
      </w:pPr>
      <w:r>
        <w:rPr>
          <w:rFonts w:ascii="Calibri" w:hAnsi="Calibri"/>
          <w:b/>
          <w:color w:val="212529"/>
          <w:sz w:val="20"/>
        </w:rPr>
        <w:t xml:space="preserve">Interoperabilidad: </w:t>
      </w:r>
      <w:r>
        <w:rPr>
          <w:rFonts w:ascii="Calibri" w:hAnsi="Calibri"/>
          <w:color w:val="212529"/>
          <w:sz w:val="20"/>
        </w:rPr>
        <w:t xml:space="preserve"> Arquitectura basada en APIs abiertas (OpenAPI / Swagger) que permita comunicar el ERP de forma transparente con la aplicación Vue 3 existente y futuros portales.</w:t>
      </w:r>
    </w:p>
    <w:p>
      <w:pPr>
        <w:keepNext/>
        <w:spacing w:before="320" w:after="120"/>
      </w:pPr>
      <w:r>
        <w:rPr>
          <w:rFonts w:ascii="Calibri" w:hAnsi="Calibri"/>
          <w:b/>
          <w:color w:val="4DB7E3"/>
          <w:sz w:val="26"/>
        </w:rPr>
        <w:t>7.2. Seguridad de la Información y Ciberseguridad</w:t>
      </w:r>
    </w:p>
    <w:p>
      <w:pPr>
        <w:pStyle w:val="ListBullet"/>
        <w:spacing w:before="0" w:after="80" w:line="276" w:lineRule="auto"/>
      </w:pPr>
      <w:r>
        <w:rPr>
          <w:rFonts w:ascii="Calibri" w:hAnsi="Calibri"/>
          <w:b/>
          <w:color w:val="212529"/>
          <w:sz w:val="20"/>
        </w:rPr>
        <w:t xml:space="preserve">Cifrado de Extremo a Extremo: </w:t>
      </w:r>
      <w:r>
        <w:rPr>
          <w:rFonts w:ascii="Calibri" w:hAnsi="Calibri"/>
          <w:color w:val="212529"/>
          <w:sz w:val="20"/>
        </w:rPr>
        <w:t xml:space="preserve"> Cifrado robusto de datos en reposo (AES-256) y datos en tránsito mediante protocolos seguros TLS 1.3.</w:t>
      </w:r>
    </w:p>
    <w:p>
      <w:pPr>
        <w:pStyle w:val="ListBullet"/>
        <w:spacing w:before="0" w:after="80" w:line="276" w:lineRule="auto"/>
      </w:pPr>
      <w:r>
        <w:rPr>
          <w:rFonts w:ascii="Calibri" w:hAnsi="Calibri"/>
          <w:b/>
          <w:color w:val="212529"/>
          <w:sz w:val="20"/>
        </w:rPr>
        <w:t xml:space="preserve">Control de Accesos y Autenticación: </w:t>
      </w:r>
      <w:r>
        <w:rPr>
          <w:rFonts w:ascii="Calibri" w:hAnsi="Calibri"/>
          <w:color w:val="212529"/>
          <w:sz w:val="20"/>
        </w:rPr>
        <w:t xml:space="preserve"> Implementación obligatoria de autenticación multifactor (MFA) para todos los empleados y técnicos que accedan al sistema, integrado con Microsoft Entra ID (Azure AD).</w:t>
      </w:r>
    </w:p>
    <w:p>
      <w:pPr>
        <w:pStyle w:val="ListBullet"/>
        <w:spacing w:before="0" w:after="80" w:line="276" w:lineRule="auto"/>
      </w:pPr>
      <w:r>
        <w:rPr>
          <w:rFonts w:ascii="Calibri" w:hAnsi="Calibri"/>
          <w:b/>
          <w:color w:val="212529"/>
          <w:sz w:val="20"/>
        </w:rPr>
        <w:t xml:space="preserve">Seguridad Basada en Roles (RBAC): </w:t>
      </w:r>
      <w:r>
        <w:rPr>
          <w:rFonts w:ascii="Calibri" w:hAnsi="Calibri"/>
          <w:color w:val="212529"/>
          <w:sz w:val="20"/>
        </w:rPr>
        <w:t xml:space="preserve"> Definición estricta de permisos por perfil: Técnico SAT Taller, Técnico de Sistemas en Ruta, Responsable de Almacén, Administrativo, Comercial y Dirección General.</w:t>
      </w:r>
    </w:p>
    <w:p>
      <w:pPr>
        <w:keepNext/>
        <w:spacing w:before="320" w:after="120"/>
      </w:pPr>
      <w:r>
        <w:rPr>
          <w:rFonts w:ascii="Calibri" w:hAnsi="Calibri"/>
          <w:b/>
          <w:color w:val="4DB7E3"/>
          <w:sz w:val="26"/>
        </w:rPr>
        <w:t>7.3. Políticas de Copias de Seguridad y Recuperación (BCP / DRP)</w:t>
      </w:r>
    </w:p>
    <w:p>
      <w:pPr>
        <w:pStyle w:val="ListBullet"/>
        <w:spacing w:before="0" w:after="80" w:line="276" w:lineRule="auto"/>
      </w:pPr>
      <w:r>
        <w:rPr>
          <w:rFonts w:ascii="Calibri" w:hAnsi="Calibri"/>
          <w:b/>
          <w:color w:val="212529"/>
          <w:sz w:val="20"/>
        </w:rPr>
        <w:t xml:space="preserve">RPO (Recovery Point Objective): </w:t>
      </w:r>
      <w:r>
        <w:rPr>
          <w:rFonts w:ascii="Calibri" w:hAnsi="Calibri"/>
          <w:color w:val="212529"/>
          <w:sz w:val="20"/>
        </w:rPr>
        <w:t xml:space="preserve"> Objetivo de Punto de Recuperación (RPO) inferior a 1 hora (copias continuas de transacciones de base de datos).</w:t>
      </w:r>
    </w:p>
    <w:p>
      <w:pPr>
        <w:pStyle w:val="ListBullet"/>
        <w:spacing w:before="0" w:after="80" w:line="276" w:lineRule="auto"/>
      </w:pPr>
      <w:r>
        <w:rPr>
          <w:rFonts w:ascii="Calibri" w:hAnsi="Calibri"/>
          <w:b/>
          <w:color w:val="212529"/>
          <w:sz w:val="20"/>
        </w:rPr>
        <w:t xml:space="preserve">RTO (Recovery Time Objective): </w:t>
      </w:r>
      <w:r>
        <w:rPr>
          <w:rFonts w:ascii="Calibri" w:hAnsi="Calibri"/>
          <w:color w:val="212529"/>
          <w:sz w:val="20"/>
        </w:rPr>
        <w:t xml:space="preserve"> Objetivo de Tiempo de Recuperación (RTO) inferior a 4 horas ante desastre mayor en centro de datos.</w:t>
      </w:r>
    </w:p>
    <w:p>
      <w:pPr>
        <w:keepNext/>
        <w:spacing w:before="320" w:after="120"/>
      </w:pPr>
      <w:r>
        <w:rPr>
          <w:rFonts w:ascii="Calibri" w:hAnsi="Calibri"/>
          <w:b/>
          <w:color w:val="4DB7E3"/>
          <w:sz w:val="26"/>
        </w:rPr>
        <w:t>7.4. Cumplimiento Normativo y Protección de Datos</w:t>
      </w:r>
    </w:p>
    <w:p>
      <w:pPr>
        <w:pStyle w:val="ListBullet"/>
        <w:spacing w:before="0" w:after="80" w:line="276" w:lineRule="auto"/>
      </w:pPr>
      <w:r>
        <w:rPr>
          <w:rFonts w:ascii="Calibri" w:hAnsi="Calibri"/>
          <w:b/>
          <w:color w:val="212529"/>
          <w:sz w:val="20"/>
        </w:rPr>
        <w:t xml:space="preserve">Cumplimiento de Privacidad: </w:t>
      </w:r>
      <w:r>
        <w:rPr>
          <w:rFonts w:ascii="Calibri" w:hAnsi="Calibri"/>
          <w:color w:val="212529"/>
          <w:sz w:val="20"/>
        </w:rPr>
        <w:t xml:space="preserve"> Cumplimiento íntegro del Reglamento General de Protección de Datos (RGPD UE 2016/679) y la Ley Orgánica 3/2018 (LOPD-GDD). Registro de consentimiento explícito en cada formulario, registro de actividades de tratamiento (RAT) y trazabilidad de accesos.</w:t>
      </w:r>
    </w:p>
    <w:p>
      <w:pPr>
        <w:pStyle w:val="ListBullet"/>
        <w:spacing w:before="0" w:after="80" w:line="276" w:lineRule="auto"/>
      </w:pPr>
      <w:r>
        <w:rPr>
          <w:rFonts w:ascii="Calibri" w:hAnsi="Calibri"/>
          <w:b/>
          <w:color w:val="212529"/>
          <w:sz w:val="20"/>
        </w:rPr>
        <w:t xml:space="preserve">Seguridad de Pagos: </w:t>
      </w:r>
      <w:r>
        <w:rPr>
          <w:rFonts w:ascii="Calibri" w:hAnsi="Calibri"/>
          <w:color w:val="212529"/>
          <w:sz w:val="20"/>
        </w:rPr>
        <w:t xml:space="preserve"> Ningún dato sensible de tarjeta bancaria se almacenará en el ERP; las transacciones se tokenizan a través de la pasarela certificada de Redsys.</w:t>
      </w:r>
    </w:p>
    <w:p>
      <w:r>
        <w:br w:type="page"/>
      </w:r>
    </w:p>
    <w:p>
      <w:pPr>
        <w:keepNext/>
        <w:spacing w:before="440" w:after="160"/>
      </w:pPr>
      <w:r>
        <w:rPr>
          <w:rFonts w:ascii="Calibri" w:hAnsi="Calibri"/>
          <w:b/>
          <w:color w:val="1A3A6E"/>
          <w:sz w:val="34"/>
        </w:rPr>
        <w:t>8. PLAN DE IMPLANTACIÓN, GESTIÓN DEL CAMBIO Y HOJA DE RUTA (ROADMAP)</w:t>
      </w:r>
    </w:p>
    <w:p>
      <w:pPr>
        <w:spacing w:before="0" w:after="120" w:line="276" w:lineRule="auto"/>
      </w:pPr>
      <w:r>
        <w:rPr>
          <w:rFonts w:ascii="Calibri" w:hAnsi="Calibri"/>
          <w:color w:val="212529"/>
          <w:sz w:val="20"/>
        </w:rPr>
        <w:t>Para minimizar cualquier riesgo de disrupción en la operativa diaria de IMAX PC, se propone un despliegue progresivo estructurado en cinco fases a lo largo de 24 semanas (6 meses):</w:t>
      </w:r>
    </w:p>
    <w:tbl>
      <w:tblPr>
        <w:tblW w:type="auto" w:w="0"/>
        <w:tblLook w:firstColumn="1" w:firstRow="1" w:lastColumn="0" w:lastRow="0" w:noHBand="0" w:noVBand="1" w:val="04A0"/>
      </w:tblPr>
      <w:tblGrid>
        <w:gridCol w:w="3010"/>
        <w:gridCol w:w="3010"/>
        <w:gridCol w:w="3010"/>
      </w:tblGrid>
      <w:tr>
        <w:tc>
          <w:tcPr>
            <w:tcW w:type="dxa" w:w="2592"/>
            <w:shd w:fill="1A3A6E"/>
            <w:tcMar>
              <w:top w:w="140" w:type="dxa"/>
              <w:bottom w:w="140" w:type="dxa"/>
              <w:left w:w="180" w:type="dxa"/>
              <w:right w:w="180" w:type="dxa"/>
            </w:tcMar>
            <w:vAlign w:val="center"/>
          </w:tcPr>
          <w:p>
            <w:pPr>
              <w:jc w:val="left"/>
            </w:pPr>
            <w:r>
              <w:t>Fase del Proyecto</w:t>
            </w:r>
          </w:p>
        </w:tc>
        <w:tc>
          <w:tcPr>
            <w:tcW w:type="dxa" w:w="2592"/>
            <w:shd w:fill="1A3A6E"/>
            <w:tcMar>
              <w:top w:w="140" w:type="dxa"/>
              <w:bottom w:w="140" w:type="dxa"/>
              <w:left w:w="180" w:type="dxa"/>
              <w:right w:w="180" w:type="dxa"/>
            </w:tcMar>
            <w:vAlign w:val="center"/>
          </w:tcPr>
          <w:p>
            <w:pPr>
              <w:jc w:val="left"/>
            </w:pPr>
            <w:r>
              <w:t>Duración / Plazo</w:t>
            </w:r>
          </w:p>
        </w:tc>
        <w:tc>
          <w:tcPr>
            <w:tcW w:type="dxa" w:w="3845"/>
            <w:shd w:fill="1A3A6E"/>
            <w:tcMar>
              <w:top w:w="140" w:type="dxa"/>
              <w:bottom w:w="140" w:type="dxa"/>
              <w:left w:w="180" w:type="dxa"/>
              <w:right w:w="180" w:type="dxa"/>
            </w:tcMar>
            <w:vAlign w:val="center"/>
          </w:tcPr>
          <w:p>
            <w:pPr>
              <w:jc w:val="left"/>
            </w:pPr>
            <w:r>
              <w:t>Hitos y Entregables Principales</w:t>
            </w:r>
          </w:p>
        </w:tc>
      </w:tr>
      <w:tr>
        <w:tc>
          <w:tcPr>
            <w:tcW w:type="dxa" w:w="2592"/>
            <w:shd w:fill="FFFFFF"/>
            <w:tcMar>
              <w:top w:w="100" w:type="dxa"/>
              <w:bottom w:w="100" w:type="dxa"/>
              <w:left w:w="180" w:type="dxa"/>
              <w:right w:w="180" w:type="dxa"/>
            </w:tcMar>
            <w:vAlign w:val="center"/>
          </w:tcPr>
          <w:p>
            <w:r>
              <w:rPr>
                <w:rFonts w:ascii="Calibri" w:hAnsi="Calibri"/>
                <w:color w:val="212529"/>
                <w:sz w:val="18"/>
              </w:rPr>
              <w:t>Fase 1: Análisis y Diseño Detallado</w:t>
            </w:r>
          </w:p>
        </w:tc>
        <w:tc>
          <w:tcPr>
            <w:tcW w:type="dxa" w:w="2592"/>
            <w:shd w:fill="FFFFFF"/>
            <w:tcMar>
              <w:top w:w="100" w:type="dxa"/>
              <w:bottom w:w="100" w:type="dxa"/>
              <w:left w:w="180" w:type="dxa"/>
              <w:right w:w="180" w:type="dxa"/>
            </w:tcMar>
            <w:vAlign w:val="center"/>
          </w:tcPr>
          <w:p>
            <w:r>
              <w:rPr>
                <w:rFonts w:ascii="Calibri" w:hAnsi="Calibri"/>
                <w:color w:val="212529"/>
                <w:sz w:val="18"/>
              </w:rPr>
              <w:t>Semanas 1 a 4 (Mes 1)</w:t>
            </w:r>
          </w:p>
        </w:tc>
        <w:tc>
          <w:tcPr>
            <w:tcW w:type="dxa" w:w="3845"/>
            <w:shd w:fill="FFFFFF"/>
            <w:tcMar>
              <w:top w:w="100" w:type="dxa"/>
              <w:bottom w:w="100" w:type="dxa"/>
              <w:left w:w="180" w:type="dxa"/>
              <w:right w:w="180" w:type="dxa"/>
            </w:tcMar>
            <w:vAlign w:val="center"/>
          </w:tcPr>
          <w:p>
            <w:r>
              <w:rPr>
                <w:rFonts w:ascii="Calibri" w:hAnsi="Calibri"/>
                <w:color w:val="212529"/>
                <w:sz w:val="18"/>
              </w:rPr>
              <w:t>Definición final de parámetros, catálogo de cuentas, tipos de tickets y personalización de campos. Aprobación de especificaciones técnicas.</w:t>
            </w:r>
          </w:p>
        </w:tc>
      </w:tr>
      <w:tr>
        <w:tc>
          <w:tcPr>
            <w:tcW w:type="dxa" w:w="2592"/>
            <w:shd w:fill="F7F9FC"/>
            <w:tcMar>
              <w:top w:w="100" w:type="dxa"/>
              <w:bottom w:w="100" w:type="dxa"/>
              <w:left w:w="180" w:type="dxa"/>
              <w:right w:w="180" w:type="dxa"/>
            </w:tcMar>
            <w:vAlign w:val="center"/>
          </w:tcPr>
          <w:p>
            <w:r>
              <w:rPr>
                <w:rFonts w:ascii="Calibri" w:hAnsi="Calibri"/>
                <w:color w:val="212529"/>
                <w:sz w:val="18"/>
              </w:rPr>
              <w:t>Fase 2: Parametrización y Migración</w:t>
            </w:r>
          </w:p>
        </w:tc>
        <w:tc>
          <w:tcPr>
            <w:tcW w:type="dxa" w:w="2592"/>
            <w:shd w:fill="F7F9FC"/>
            <w:tcMar>
              <w:top w:w="100" w:type="dxa"/>
              <w:bottom w:w="100" w:type="dxa"/>
              <w:left w:w="180" w:type="dxa"/>
              <w:right w:w="180" w:type="dxa"/>
            </w:tcMar>
            <w:vAlign w:val="center"/>
          </w:tcPr>
          <w:p>
            <w:r>
              <w:rPr>
                <w:rFonts w:ascii="Calibri" w:hAnsi="Calibri"/>
                <w:color w:val="212529"/>
                <w:sz w:val="18"/>
              </w:rPr>
              <w:t>Semanas 5 a 10 (Mes 2-3)</w:t>
            </w:r>
          </w:p>
        </w:tc>
        <w:tc>
          <w:tcPr>
            <w:tcW w:type="dxa" w:w="3845"/>
            <w:shd w:fill="F7F9FC"/>
            <w:tcMar>
              <w:top w:w="100" w:type="dxa"/>
              <w:bottom w:w="100" w:type="dxa"/>
              <w:left w:w="180" w:type="dxa"/>
              <w:right w:w="180" w:type="dxa"/>
            </w:tcMar>
            <w:vAlign w:val="center"/>
          </w:tcPr>
          <w:p>
            <w:r>
              <w:rPr>
                <w:rFonts w:ascii="Calibri" w:hAnsi="Calibri"/>
                <w:color w:val="212529"/>
                <w:sz w:val="18"/>
              </w:rPr>
              <w:t>Instalación del entorno, carga de maestros (clientes, proveedores, artículos Brother/HP), saneamiento y migración de datos históricos.</w:t>
            </w:r>
          </w:p>
        </w:tc>
      </w:tr>
      <w:tr>
        <w:tc>
          <w:tcPr>
            <w:tcW w:type="dxa" w:w="2592"/>
            <w:shd w:fill="FFFFFF"/>
            <w:tcMar>
              <w:top w:w="100" w:type="dxa"/>
              <w:bottom w:w="100" w:type="dxa"/>
              <w:left w:w="180" w:type="dxa"/>
              <w:right w:w="180" w:type="dxa"/>
            </w:tcMar>
            <w:vAlign w:val="center"/>
          </w:tcPr>
          <w:p>
            <w:r>
              <w:rPr>
                <w:rFonts w:ascii="Calibri" w:hAnsi="Calibri"/>
                <w:color w:val="212529"/>
                <w:sz w:val="18"/>
              </w:rPr>
              <w:t>Fase 3: Módulos SAT, Taller y WMS</w:t>
            </w:r>
          </w:p>
        </w:tc>
        <w:tc>
          <w:tcPr>
            <w:tcW w:type="dxa" w:w="2592"/>
            <w:shd w:fill="FFFFFF"/>
            <w:tcMar>
              <w:top w:w="100" w:type="dxa"/>
              <w:bottom w:w="100" w:type="dxa"/>
              <w:left w:w="180" w:type="dxa"/>
              <w:right w:w="180" w:type="dxa"/>
            </w:tcMar>
            <w:vAlign w:val="center"/>
          </w:tcPr>
          <w:p>
            <w:r>
              <w:rPr>
                <w:rFonts w:ascii="Calibri" w:hAnsi="Calibri"/>
                <w:color w:val="212529"/>
                <w:sz w:val="18"/>
              </w:rPr>
              <w:t>Semanas 11 a 16 (Mes 3-4)</w:t>
            </w:r>
          </w:p>
        </w:tc>
        <w:tc>
          <w:tcPr>
            <w:tcW w:type="dxa" w:w="3845"/>
            <w:shd w:fill="FFFFFF"/>
            <w:tcMar>
              <w:top w:w="100" w:type="dxa"/>
              <w:bottom w:w="100" w:type="dxa"/>
              <w:left w:w="180" w:type="dxa"/>
              <w:right w:w="180" w:type="dxa"/>
            </w:tcMar>
            <w:vAlign w:val="center"/>
          </w:tcPr>
          <w:p>
            <w:r>
              <w:rPr>
                <w:rFonts w:ascii="Calibri" w:hAnsi="Calibri"/>
                <w:color w:val="212529"/>
                <w:sz w:val="18"/>
              </w:rPr>
              <w:t>Puesta en marcha del etiquetado QR en taller, gestión de incidencias, control de inventario y circuito de garantías RMA. Pruebas piloto internas.</w:t>
            </w:r>
          </w:p>
        </w:tc>
      </w:tr>
      <w:tr>
        <w:tc>
          <w:tcPr>
            <w:tcW w:type="dxa" w:w="2592"/>
            <w:shd w:fill="F7F9FC"/>
            <w:tcMar>
              <w:top w:w="100" w:type="dxa"/>
              <w:bottom w:w="100" w:type="dxa"/>
              <w:left w:w="180" w:type="dxa"/>
              <w:right w:w="180" w:type="dxa"/>
            </w:tcMar>
            <w:vAlign w:val="center"/>
          </w:tcPr>
          <w:p>
            <w:r>
              <w:rPr>
                <w:rFonts w:ascii="Calibri" w:hAnsi="Calibri"/>
                <w:color w:val="212529"/>
                <w:sz w:val="18"/>
              </w:rPr>
              <w:t>Fase 4: Integración Web, Facturación y Pago por Uso</w:t>
            </w:r>
          </w:p>
        </w:tc>
        <w:tc>
          <w:tcPr>
            <w:tcW w:type="dxa" w:w="2592"/>
            <w:shd w:fill="F7F9FC"/>
            <w:tcMar>
              <w:top w:w="100" w:type="dxa"/>
              <w:bottom w:w="100" w:type="dxa"/>
              <w:left w:w="180" w:type="dxa"/>
              <w:right w:w="180" w:type="dxa"/>
            </w:tcMar>
            <w:vAlign w:val="center"/>
          </w:tcPr>
          <w:p>
            <w:r>
              <w:rPr>
                <w:rFonts w:ascii="Calibri" w:hAnsi="Calibri"/>
                <w:color w:val="212529"/>
                <w:sz w:val="18"/>
              </w:rPr>
              <w:t>Semanas 17 a 20 (Mes 5)</w:t>
            </w:r>
          </w:p>
        </w:tc>
        <w:tc>
          <w:tcPr>
            <w:tcW w:type="dxa" w:w="3845"/>
            <w:shd w:fill="F7F9FC"/>
            <w:tcMar>
              <w:top w:w="100" w:type="dxa"/>
              <w:bottom w:w="100" w:type="dxa"/>
              <w:left w:w="180" w:type="dxa"/>
              <w:right w:w="180" w:type="dxa"/>
            </w:tcMar>
            <w:vAlign w:val="center"/>
          </w:tcPr>
          <w:p>
            <w:r>
              <w:rPr>
                <w:rFonts w:ascii="Calibri" w:hAnsi="Calibri"/>
                <w:color w:val="212529"/>
                <w:sz w:val="18"/>
              </w:rPr>
              <w:t>Conexión API con la web Vue, automatización de facturas mensuales, liquidación de contadores de impresión y pasarela Redsys.</w:t>
            </w:r>
          </w:p>
        </w:tc>
      </w:tr>
      <w:tr>
        <w:tc>
          <w:tcPr>
            <w:tcW w:type="dxa" w:w="2592"/>
            <w:shd w:fill="FFFFFF"/>
            <w:tcMar>
              <w:top w:w="100" w:type="dxa"/>
              <w:bottom w:w="100" w:type="dxa"/>
              <w:left w:w="180" w:type="dxa"/>
              <w:right w:w="180" w:type="dxa"/>
            </w:tcMar>
            <w:vAlign w:val="center"/>
          </w:tcPr>
          <w:p>
            <w:r>
              <w:rPr>
                <w:rFonts w:ascii="Calibri" w:hAnsi="Calibri"/>
                <w:color w:val="212529"/>
                <w:sz w:val="18"/>
              </w:rPr>
              <w:t>Fase 5: Capacitación, Go-Live y BI</w:t>
            </w:r>
          </w:p>
        </w:tc>
        <w:tc>
          <w:tcPr>
            <w:tcW w:type="dxa" w:w="2592"/>
            <w:shd w:fill="FFFFFF"/>
            <w:tcMar>
              <w:top w:w="100" w:type="dxa"/>
              <w:bottom w:w="100" w:type="dxa"/>
              <w:left w:w="180" w:type="dxa"/>
              <w:right w:w="180" w:type="dxa"/>
            </w:tcMar>
            <w:vAlign w:val="center"/>
          </w:tcPr>
          <w:p>
            <w:r>
              <w:rPr>
                <w:rFonts w:ascii="Calibri" w:hAnsi="Calibri"/>
                <w:color w:val="212529"/>
                <w:sz w:val="18"/>
              </w:rPr>
              <w:t>Semanas 21 a 24 (Mes 6)</w:t>
            </w:r>
          </w:p>
        </w:tc>
        <w:tc>
          <w:tcPr>
            <w:tcW w:type="dxa" w:w="3845"/>
            <w:shd w:fill="FFFFFF"/>
            <w:tcMar>
              <w:top w:w="100" w:type="dxa"/>
              <w:bottom w:w="100" w:type="dxa"/>
              <w:left w:w="180" w:type="dxa"/>
              <w:right w:w="180" w:type="dxa"/>
            </w:tcMar>
            <w:vAlign w:val="center"/>
          </w:tcPr>
          <w:p>
            <w:r>
              <w:rPr>
                <w:rFonts w:ascii="Calibri" w:hAnsi="Calibri"/>
                <w:color w:val="212529"/>
                <w:sz w:val="18"/>
              </w:rPr>
              <w:t>Formación exhaustiva a la plantilla, simulacros de arranque, paso oficial a producción (Go-Live) y despliegue de cuadros de mando.</w:t>
            </w:r>
          </w:p>
        </w:tc>
      </w:tr>
    </w:tbl>
    <w:p>
      <w:pPr>
        <w:keepNext/>
        <w:spacing w:before="320" w:after="120"/>
      </w:pPr>
      <w:r>
        <w:rPr>
          <w:rFonts w:ascii="Calibri" w:hAnsi="Calibri"/>
          <w:b/>
          <w:color w:val="4DB7E3"/>
          <w:sz w:val="26"/>
        </w:rPr>
        <w:t>8.1. Matriz de Gestión de Riesgos y Mitigación</w:t>
      </w:r>
    </w:p>
    <w:p>
      <w:pPr>
        <w:pStyle w:val="ListBullet"/>
        <w:spacing w:before="0" w:after="80" w:line="276" w:lineRule="auto"/>
      </w:pPr>
      <w:r>
        <w:rPr>
          <w:rFonts w:ascii="Calibri" w:hAnsi="Calibri"/>
          <w:b/>
          <w:color w:val="212529"/>
          <w:sz w:val="20"/>
        </w:rPr>
        <w:t xml:space="preserve">Riesgo de Resistencia al Cambio de la Plantilla: </w:t>
      </w:r>
      <w:r>
        <w:rPr>
          <w:rFonts w:ascii="Calibri" w:hAnsi="Calibri"/>
          <w:color w:val="212529"/>
          <w:sz w:val="20"/>
        </w:rPr>
        <w:t xml:space="preserve"> Plan de formación por perfiles, diseño de manuales rápidos en vídeo y designación de un 'superusuario' líder interno en taller y administración.</w:t>
      </w:r>
    </w:p>
    <w:p>
      <w:pPr>
        <w:pStyle w:val="ListBullet"/>
        <w:spacing w:before="0" w:after="80" w:line="276" w:lineRule="auto"/>
      </w:pPr>
      <w:r>
        <w:rPr>
          <w:rFonts w:ascii="Calibri" w:hAnsi="Calibri"/>
          <w:b/>
          <w:color w:val="212529"/>
          <w:sz w:val="20"/>
        </w:rPr>
        <w:t xml:space="preserve">Riesgo de Inconsistencia en Datos Migrados: </w:t>
      </w:r>
      <w:r>
        <w:rPr>
          <w:rFonts w:ascii="Calibri" w:hAnsi="Calibri"/>
          <w:color w:val="212529"/>
          <w:sz w:val="20"/>
        </w:rPr>
        <w:t xml:space="preserve"> Fase de filtrado, normalización y deduplicación previa en hojas de cálculo antes de la importación a la base de datos definitiva.</w:t>
      </w:r>
    </w:p>
    <w:p>
      <w:pPr>
        <w:pStyle w:val="ListBullet"/>
        <w:spacing w:before="0" w:after="80" w:line="276" w:lineRule="auto"/>
      </w:pPr>
      <w:r>
        <w:rPr>
          <w:rFonts w:ascii="Calibri" w:hAnsi="Calibri"/>
          <w:b/>
          <w:color w:val="212529"/>
          <w:sz w:val="20"/>
        </w:rPr>
        <w:t xml:space="preserve">Riesgo de Interrupción Operativa: </w:t>
      </w:r>
      <w:r>
        <w:rPr>
          <w:rFonts w:ascii="Calibri" w:hAnsi="Calibri"/>
          <w:color w:val="212529"/>
          <w:sz w:val="20"/>
        </w:rPr>
        <w:t xml:space="preserve"> Convivencia en paralelo de los sistemas tradicionales durante las dos primeras semanas tras el Go-Live hasta certificar el cuadre de facturación.</w:t>
      </w:r>
    </w:p>
    <w:p>
      <w:r>
        <w:br w:type="page"/>
      </w:r>
    </w:p>
    <w:p>
      <w:pPr>
        <w:keepNext/>
        <w:spacing w:before="440" w:after="160"/>
      </w:pPr>
      <w:r>
        <w:rPr>
          <w:rFonts w:ascii="Calibri" w:hAnsi="Calibri"/>
          <w:b/>
          <w:color w:val="1A3A6E"/>
          <w:sz w:val="34"/>
        </w:rPr>
        <w:t>9. ESTUDIO DE VIABILIDAD ECONÓMICA Y RETORNO DE INVERSIÓN (ROI)</w:t>
      </w:r>
    </w:p>
    <w:p>
      <w:pPr>
        <w:spacing w:before="0" w:after="120" w:line="276" w:lineRule="auto"/>
      </w:pPr>
      <w:r>
        <w:rPr>
          <w:rFonts w:ascii="Calibri" w:hAnsi="Calibri"/>
          <w:color w:val="212529"/>
          <w:sz w:val="20"/>
        </w:rPr>
        <w:t>La implantación del ERP/CRM no supone únicamente una modernización técnica, sino una inversión de alta rentabilidad que desbloqueará capacidad operativa y aumentará los ingresos de IMAX PC:</w:t>
      </w:r>
    </w:p>
    <w:p>
      <w:pPr>
        <w:keepNext/>
        <w:spacing w:before="320" w:after="120"/>
      </w:pPr>
      <w:r>
        <w:rPr>
          <w:rFonts w:ascii="Calibri" w:hAnsi="Calibri"/>
          <w:b/>
          <w:color w:val="4DB7E3"/>
          <w:sz w:val="26"/>
        </w:rPr>
        <w:t>9.1. Estimación de Beneficios Cuantificables Anuales</w:t>
      </w:r>
    </w:p>
    <w:tbl>
      <w:tblPr>
        <w:tblW w:type="auto" w:w="0"/>
        <w:tblLook w:firstColumn="1" w:firstRow="1" w:lastColumn="0" w:lastRow="0" w:noHBand="0" w:noVBand="1" w:val="04A0"/>
      </w:tblPr>
      <w:tblGrid>
        <w:gridCol w:w="3010"/>
        <w:gridCol w:w="3010"/>
        <w:gridCol w:w="3010"/>
      </w:tblGrid>
      <w:tr>
        <w:tc>
          <w:tcPr>
            <w:tcW w:type="dxa" w:w="3600"/>
            <w:shd w:fill="1A3A6E"/>
            <w:tcMar>
              <w:top w:w="140" w:type="dxa"/>
              <w:bottom w:w="140" w:type="dxa"/>
              <w:left w:w="180" w:type="dxa"/>
              <w:right w:w="180" w:type="dxa"/>
            </w:tcMar>
            <w:vAlign w:val="center"/>
          </w:tcPr>
          <w:p>
            <w:pPr>
              <w:jc w:val="left"/>
            </w:pPr>
            <w:r>
              <w:t>Concepto de Ahorro / Ingreso Adicional</w:t>
            </w:r>
          </w:p>
        </w:tc>
        <w:tc>
          <w:tcPr>
            <w:tcW w:type="dxa" w:w="3168"/>
            <w:shd w:fill="1A3A6E"/>
            <w:tcMar>
              <w:top w:w="140" w:type="dxa"/>
              <w:bottom w:w="140" w:type="dxa"/>
              <w:left w:w="180" w:type="dxa"/>
              <w:right w:w="180" w:type="dxa"/>
            </w:tcMar>
            <w:vAlign w:val="center"/>
          </w:tcPr>
          <w:p>
            <w:pPr>
              <w:jc w:val="left"/>
            </w:pPr>
            <w:r>
              <w:t>Mecanismo Operativo</w:t>
            </w:r>
          </w:p>
        </w:tc>
        <w:tc>
          <w:tcPr>
            <w:tcW w:type="dxa" w:w="2261"/>
            <w:shd w:fill="1A3A6E"/>
            <w:tcMar>
              <w:top w:w="140" w:type="dxa"/>
              <w:bottom w:w="140" w:type="dxa"/>
              <w:left w:w="180" w:type="dxa"/>
              <w:right w:w="180" w:type="dxa"/>
            </w:tcMar>
            <w:vAlign w:val="center"/>
          </w:tcPr>
          <w:p>
            <w:pPr>
              <w:jc w:val="left"/>
            </w:pPr>
            <w:r>
              <w:t>Impacto Estimado Anual</w:t>
            </w:r>
          </w:p>
        </w:tc>
      </w:tr>
      <w:tr>
        <w:tc>
          <w:tcPr>
            <w:tcW w:type="dxa" w:w="3600"/>
            <w:shd w:fill="FFFFFF"/>
            <w:tcMar>
              <w:top w:w="100" w:type="dxa"/>
              <w:bottom w:w="100" w:type="dxa"/>
              <w:left w:w="180" w:type="dxa"/>
              <w:right w:w="180" w:type="dxa"/>
            </w:tcMar>
            <w:vAlign w:val="center"/>
          </w:tcPr>
          <w:p>
            <w:r>
              <w:rPr>
                <w:rFonts w:ascii="Calibri" w:hAnsi="Calibri"/>
                <w:color w:val="212529"/>
                <w:sz w:val="18"/>
              </w:rPr>
              <w:t>Ahorro de Horas Administrativas</w:t>
            </w:r>
          </w:p>
        </w:tc>
        <w:tc>
          <w:tcPr>
            <w:tcW w:type="dxa" w:w="3168"/>
            <w:shd w:fill="FFFFFF"/>
            <w:tcMar>
              <w:top w:w="100" w:type="dxa"/>
              <w:bottom w:w="100" w:type="dxa"/>
              <w:left w:w="180" w:type="dxa"/>
              <w:right w:w="180" w:type="dxa"/>
            </w:tcMar>
            <w:vAlign w:val="center"/>
          </w:tcPr>
          <w:p>
            <w:r>
              <w:rPr>
                <w:rFonts w:ascii="Calibri" w:hAnsi="Calibri"/>
                <w:color w:val="212529"/>
                <w:sz w:val="18"/>
              </w:rPr>
              <w:t>Reducción de 25 horas semanales en facturación de contratos, transcripción manual de tickets y liquidación de copias.</w:t>
            </w:r>
          </w:p>
        </w:tc>
        <w:tc>
          <w:tcPr>
            <w:tcW w:type="dxa" w:w="2261"/>
            <w:shd w:fill="FFFFFF"/>
            <w:tcMar>
              <w:top w:w="100" w:type="dxa"/>
              <w:bottom w:w="100" w:type="dxa"/>
              <w:left w:w="180" w:type="dxa"/>
              <w:right w:w="180" w:type="dxa"/>
            </w:tcMar>
            <w:vAlign w:val="center"/>
          </w:tcPr>
          <w:p>
            <w:r>
              <w:rPr>
                <w:rFonts w:ascii="Calibri" w:hAnsi="Calibri"/>
                <w:color w:val="212529"/>
                <w:sz w:val="18"/>
              </w:rPr>
              <w:t>18.000 € / año</w:t>
            </w:r>
          </w:p>
        </w:tc>
      </w:tr>
      <w:tr>
        <w:tc>
          <w:tcPr>
            <w:tcW w:type="dxa" w:w="3600"/>
            <w:shd w:fill="F7F9FC"/>
            <w:tcMar>
              <w:top w:w="100" w:type="dxa"/>
              <w:bottom w:w="100" w:type="dxa"/>
              <w:left w:w="180" w:type="dxa"/>
              <w:right w:w="180" w:type="dxa"/>
            </w:tcMar>
            <w:vAlign w:val="center"/>
          </w:tcPr>
          <w:p>
            <w:r>
              <w:rPr>
                <w:rFonts w:ascii="Calibri" w:hAnsi="Calibri"/>
                <w:color w:val="212529"/>
                <w:sz w:val="18"/>
              </w:rPr>
              <w:t>Aumento de Tasa de Conversión de Leads</w:t>
            </w:r>
          </w:p>
        </w:tc>
        <w:tc>
          <w:tcPr>
            <w:tcW w:type="dxa" w:w="3168"/>
            <w:shd w:fill="F7F9FC"/>
            <w:tcMar>
              <w:top w:w="100" w:type="dxa"/>
              <w:bottom w:w="100" w:type="dxa"/>
              <w:left w:w="180" w:type="dxa"/>
              <w:right w:w="180" w:type="dxa"/>
            </w:tcMar>
            <w:vAlign w:val="center"/>
          </w:tcPr>
          <w:p>
            <w:r>
              <w:rPr>
                <w:rFonts w:ascii="Calibri" w:hAnsi="Calibri"/>
                <w:color w:val="212529"/>
                <w:sz w:val="18"/>
              </w:rPr>
              <w:t>Captura inmediata de auditorías web y seguimiento automatizado que incrementa un 18% el cierre de contratos B2B.</w:t>
            </w:r>
          </w:p>
        </w:tc>
        <w:tc>
          <w:tcPr>
            <w:tcW w:type="dxa" w:w="2261"/>
            <w:shd w:fill="F7F9FC"/>
            <w:tcMar>
              <w:top w:w="100" w:type="dxa"/>
              <w:bottom w:w="100" w:type="dxa"/>
              <w:left w:w="180" w:type="dxa"/>
              <w:right w:w="180" w:type="dxa"/>
            </w:tcMar>
            <w:vAlign w:val="center"/>
          </w:tcPr>
          <w:p>
            <w:r>
              <w:rPr>
                <w:rFonts w:ascii="Calibri" w:hAnsi="Calibri"/>
                <w:color w:val="212529"/>
                <w:sz w:val="18"/>
              </w:rPr>
              <w:t>24.500 € / año</w:t>
            </w:r>
          </w:p>
        </w:tc>
      </w:tr>
      <w:tr>
        <w:tc>
          <w:tcPr>
            <w:tcW w:type="dxa" w:w="3600"/>
            <w:shd w:fill="FFFFFF"/>
            <w:tcMar>
              <w:top w:w="100" w:type="dxa"/>
              <w:bottom w:w="100" w:type="dxa"/>
              <w:left w:w="180" w:type="dxa"/>
              <w:right w:w="180" w:type="dxa"/>
            </w:tcMar>
            <w:vAlign w:val="center"/>
          </w:tcPr>
          <w:p>
            <w:r>
              <w:rPr>
                <w:rFonts w:ascii="Calibri" w:hAnsi="Calibri"/>
                <w:color w:val="212529"/>
                <w:sz w:val="18"/>
              </w:rPr>
              <w:t>Optimización de Inventario y Menos Mermas</w:t>
            </w:r>
          </w:p>
        </w:tc>
        <w:tc>
          <w:tcPr>
            <w:tcW w:type="dxa" w:w="3168"/>
            <w:shd w:fill="FFFFFF"/>
            <w:tcMar>
              <w:top w:w="100" w:type="dxa"/>
              <w:bottom w:w="100" w:type="dxa"/>
              <w:left w:w="180" w:type="dxa"/>
              <w:right w:w="180" w:type="dxa"/>
            </w:tcMar>
            <w:vAlign w:val="center"/>
          </w:tcPr>
          <w:p>
            <w:r>
              <w:rPr>
                <w:rFonts w:ascii="Calibri" w:hAnsi="Calibri"/>
                <w:color w:val="212529"/>
                <w:sz w:val="18"/>
              </w:rPr>
              <w:t>Eliminación de compras de urgencia a mayoristas con recargo y control estricto de consumibles en furgonetas y taller.</w:t>
            </w:r>
          </w:p>
        </w:tc>
        <w:tc>
          <w:tcPr>
            <w:tcW w:type="dxa" w:w="2261"/>
            <w:shd w:fill="FFFFFF"/>
            <w:tcMar>
              <w:top w:w="100" w:type="dxa"/>
              <w:bottom w:w="100" w:type="dxa"/>
              <w:left w:w="180" w:type="dxa"/>
              <w:right w:w="180" w:type="dxa"/>
            </w:tcMar>
            <w:vAlign w:val="center"/>
          </w:tcPr>
          <w:p>
            <w:r>
              <w:rPr>
                <w:rFonts w:ascii="Calibri" w:hAnsi="Calibri"/>
                <w:color w:val="212529"/>
                <w:sz w:val="18"/>
              </w:rPr>
              <w:t>8.200 € / año</w:t>
            </w:r>
          </w:p>
        </w:tc>
      </w:tr>
      <w:tr>
        <w:tc>
          <w:tcPr>
            <w:tcW w:type="dxa" w:w="3600"/>
            <w:shd w:fill="F7F9FC"/>
            <w:tcMar>
              <w:top w:w="100" w:type="dxa"/>
              <w:bottom w:w="100" w:type="dxa"/>
              <w:left w:w="180" w:type="dxa"/>
              <w:right w:w="180" w:type="dxa"/>
            </w:tcMar>
            <w:vAlign w:val="center"/>
          </w:tcPr>
          <w:p>
            <w:r>
              <w:rPr>
                <w:rFonts w:ascii="Calibri" w:hAnsi="Calibri"/>
                <w:color w:val="212529"/>
                <w:sz w:val="18"/>
              </w:rPr>
              <w:t>Recuperación de Garantías RMA Fabricante</w:t>
            </w:r>
          </w:p>
        </w:tc>
        <w:tc>
          <w:tcPr>
            <w:tcW w:type="dxa" w:w="3168"/>
            <w:shd w:fill="F7F9FC"/>
            <w:tcMar>
              <w:top w:w="100" w:type="dxa"/>
              <w:bottom w:w="100" w:type="dxa"/>
              <w:left w:w="180" w:type="dxa"/>
              <w:right w:w="180" w:type="dxa"/>
            </w:tcMar>
            <w:vAlign w:val="center"/>
          </w:tcPr>
          <w:p>
            <w:r>
              <w:rPr>
                <w:rFonts w:ascii="Calibri" w:hAnsi="Calibri"/>
                <w:color w:val="212529"/>
                <w:sz w:val="18"/>
              </w:rPr>
              <w:t>Cero componentes defectuosos no reclamados a Brother o HP por pérdida de tickets de compra.</w:t>
            </w:r>
          </w:p>
        </w:tc>
        <w:tc>
          <w:tcPr>
            <w:tcW w:type="dxa" w:w="2261"/>
            <w:shd w:fill="F7F9FC"/>
            <w:tcMar>
              <w:top w:w="100" w:type="dxa"/>
              <w:bottom w:w="100" w:type="dxa"/>
              <w:left w:w="180" w:type="dxa"/>
              <w:right w:w="180" w:type="dxa"/>
            </w:tcMar>
            <w:vAlign w:val="center"/>
          </w:tcPr>
          <w:p>
            <w:r>
              <w:rPr>
                <w:rFonts w:ascii="Calibri" w:hAnsi="Calibri"/>
                <w:color w:val="212529"/>
                <w:sz w:val="18"/>
              </w:rPr>
              <w:t>5.400 € / año</w:t>
            </w:r>
          </w:p>
        </w:tc>
      </w:tr>
      <w:tr>
        <w:tc>
          <w:tcPr>
            <w:tcW w:type="dxa" w:w="3600"/>
            <w:shd w:fill="FFFFFF"/>
            <w:tcMar>
              <w:top w:w="100" w:type="dxa"/>
              <w:bottom w:w="100" w:type="dxa"/>
              <w:left w:w="180" w:type="dxa"/>
              <w:right w:w="180" w:type="dxa"/>
            </w:tcMar>
            <w:vAlign w:val="center"/>
          </w:tcPr>
          <w:p>
            <w:r>
              <w:rPr>
                <w:rFonts w:ascii="Calibri" w:hAnsi="Calibri"/>
                <w:color w:val="212529"/>
                <w:sz w:val="18"/>
              </w:rPr>
              <w:t>Eliminación de Errores de Facturación</w:t>
            </w:r>
          </w:p>
        </w:tc>
        <w:tc>
          <w:tcPr>
            <w:tcW w:type="dxa" w:w="3168"/>
            <w:shd w:fill="FFFFFF"/>
            <w:tcMar>
              <w:top w:w="100" w:type="dxa"/>
              <w:bottom w:w="100" w:type="dxa"/>
              <w:left w:w="180" w:type="dxa"/>
              <w:right w:w="180" w:type="dxa"/>
            </w:tcMar>
            <w:vAlign w:val="center"/>
          </w:tcPr>
          <w:p>
            <w:r>
              <w:rPr>
                <w:rFonts w:ascii="Calibri" w:hAnsi="Calibri"/>
                <w:color w:val="212529"/>
                <w:sz w:val="18"/>
              </w:rPr>
              <w:t>Cobro exhaustivo del 100% de horas extras y consumos de copia que antes quedaban sin registrar.</w:t>
            </w:r>
          </w:p>
        </w:tc>
        <w:tc>
          <w:tcPr>
            <w:tcW w:type="dxa" w:w="2261"/>
            <w:shd w:fill="FFFFFF"/>
            <w:tcMar>
              <w:top w:w="100" w:type="dxa"/>
              <w:bottom w:w="100" w:type="dxa"/>
              <w:left w:w="180" w:type="dxa"/>
              <w:right w:w="180" w:type="dxa"/>
            </w:tcMar>
            <w:vAlign w:val="center"/>
          </w:tcPr>
          <w:p>
            <w:r>
              <w:rPr>
                <w:rFonts w:ascii="Calibri" w:hAnsi="Calibri"/>
                <w:color w:val="212529"/>
                <w:sz w:val="18"/>
              </w:rPr>
              <w:t>9.600 € / año</w:t>
            </w:r>
          </w:p>
        </w:tc>
      </w:tr>
    </w:tbl>
    <w:p>
      <w:pPr>
        <w:keepNext/>
        <w:spacing w:before="320" w:after="120"/>
      </w:pPr>
      <w:r>
        <w:rPr>
          <w:rFonts w:ascii="Calibri" w:hAnsi="Calibri"/>
          <w:b/>
          <w:color w:val="4DB7E3"/>
          <w:sz w:val="26"/>
        </w:rPr>
        <w:t>9.2. Plazo de Amortización (Payback)</w:t>
      </w:r>
    </w:p>
    <w:tbl>
      <w:tblPr>
        <w:tblW w:type="auto" w:w="0"/>
        <w:jc w:val="center"/>
        <w:tblLayout w:type="fixed"/>
        <w:tblLook w:firstColumn="1" w:firstRow="1" w:lastColumn="0" w:lastRow="0" w:noHBand="0" w:noVBand="1" w:val="04A0"/>
      </w:tblPr>
      <w:tblGrid>
        <w:gridCol w:w="9029"/>
      </w:tblGrid>
      <w:tr>
        <w:tc>
          <w:tcPr>
            <w:tcW w:type="dxa" w:w="9029"/>
            <w:shd w:fill="F0F4F8"/>
            <w:tcBorders>
              <w:left w:val="single" w:sz="36" w:space="0" w:color="4DB7E3"/>
              <w:top w:val="none"/>
              <w:right w:val="none"/>
              <w:bottom w:val="none"/>
            </w:tcBorders>
            <w:tcMar>
              <w:top w:w="140" w:type="dxa"/>
              <w:bottom w:w="140" w:type="dxa"/>
              <w:left w:w="200" w:type="dxa"/>
              <w:right w:w="180" w:type="dxa"/>
            </w:tcMar>
          </w:tcPr>
          <w:p>
            <w:pPr>
              <w:spacing w:before="80" w:after="80" w:line="276" w:lineRule="auto"/>
            </w:pPr>
            <w:r>
              <w:rPr>
                <w:rFonts w:ascii="Calibri" w:hAnsi="Calibri"/>
                <w:b/>
                <w:color w:val="1A3A6E"/>
                <w:sz w:val="21"/>
              </w:rPr>
              <w:t>Dictamen de Viabilidad Financiera:</w:t>
              <w:br/>
            </w:r>
            <w:r>
              <w:rPr>
                <w:rFonts w:ascii="Calibri" w:hAnsi="Calibri"/>
                <w:color w:val="212529"/>
                <w:sz w:val="19"/>
              </w:rPr>
              <w:t>Beneficio Económico Total Anual Estimado: 65.700 € / año.</w:t>
              <w:br/>
              <w:t>Inversión Total Estimada del Proyecto (Software SaaS + Consultoría + Parametrización + Formación): ~ 45.000 €.</w:t>
              <w:br/>
              <w:t>Periodo Estimado de Retorno de la Inversión (Payback): 8,2 meses tras la puesta en marcha definitiva.</w:t>
            </w:r>
          </w:p>
        </w:tc>
      </w:tr>
    </w:tbl>
    <w:p/>
    <w:p>
      <w:r>
        <w:br w:type="page"/>
      </w:r>
    </w:p>
    <w:p>
      <w:pPr>
        <w:keepNext/>
        <w:spacing w:before="440" w:after="160"/>
      </w:pPr>
      <w:r>
        <w:rPr>
          <w:rFonts w:ascii="Calibri" w:hAnsi="Calibri"/>
          <w:b/>
          <w:color w:val="1A3A6E"/>
          <w:sz w:val="34"/>
        </w:rPr>
        <w:t>10. ANEXO: MATRIZ DE TRAZABILIDAD Y GLOSARIO TÉCNICO</w:t>
      </w:r>
    </w:p>
    <w:p>
      <w:pPr>
        <w:keepNext/>
        <w:spacing w:before="320" w:after="120"/>
      </w:pPr>
      <w:r>
        <w:rPr>
          <w:rFonts w:ascii="Calibri" w:hAnsi="Calibri"/>
          <w:b/>
          <w:color w:val="4DB7E3"/>
          <w:sz w:val="26"/>
        </w:rPr>
        <w:t>10.1. Matriz Resumen de Priorización de Requerimientos (MoSCoW)</w:t>
      </w:r>
    </w:p>
    <w:tbl>
      <w:tblPr>
        <w:tblW w:type="auto" w:w="0"/>
        <w:tblLook w:firstColumn="1" w:firstRow="1" w:lastColumn="0" w:lastRow="0" w:noHBand="0" w:noVBand="1" w:val="04A0"/>
      </w:tblPr>
      <w:tblGrid>
        <w:gridCol w:w="3010"/>
        <w:gridCol w:w="3010"/>
        <w:gridCol w:w="3010"/>
      </w:tblGrid>
      <w:tr>
        <w:tc>
          <w:tcPr>
            <w:tcW w:type="dxa" w:w="1728"/>
            <w:shd w:fill="1A3A6E"/>
            <w:tcMar>
              <w:top w:w="140" w:type="dxa"/>
              <w:bottom w:w="140" w:type="dxa"/>
              <w:left w:w="180" w:type="dxa"/>
              <w:right w:w="180" w:type="dxa"/>
            </w:tcMar>
            <w:vAlign w:val="center"/>
          </w:tcPr>
          <w:p>
            <w:pPr>
              <w:jc w:val="left"/>
            </w:pPr>
            <w:r>
              <w:t>Código</w:t>
            </w:r>
          </w:p>
        </w:tc>
        <w:tc>
          <w:tcPr>
            <w:tcW w:type="dxa" w:w="4752"/>
            <w:shd w:fill="1A3A6E"/>
            <w:tcMar>
              <w:top w:w="140" w:type="dxa"/>
              <w:bottom w:w="140" w:type="dxa"/>
              <w:left w:w="180" w:type="dxa"/>
              <w:right w:w="180" w:type="dxa"/>
            </w:tcMar>
            <w:vAlign w:val="center"/>
          </w:tcPr>
          <w:p>
            <w:pPr>
              <w:jc w:val="left"/>
            </w:pPr>
            <w:r>
              <w:t>Descripción Funcional del Requerimiento</w:t>
            </w:r>
          </w:p>
        </w:tc>
        <w:tc>
          <w:tcPr>
            <w:tcW w:type="dxa" w:w="2549"/>
            <w:shd w:fill="1A3A6E"/>
            <w:tcMar>
              <w:top w:w="140" w:type="dxa"/>
              <w:bottom w:w="140" w:type="dxa"/>
              <w:left w:w="180" w:type="dxa"/>
              <w:right w:w="180" w:type="dxa"/>
            </w:tcMar>
            <w:vAlign w:val="center"/>
          </w:tcPr>
          <w:p>
            <w:pPr>
              <w:jc w:val="left"/>
            </w:pPr>
            <w:r>
              <w:t>Prioridad MoSCoW</w:t>
            </w:r>
          </w:p>
        </w:tc>
      </w:tr>
      <w:tr>
        <w:tc>
          <w:tcPr>
            <w:tcW w:type="dxa" w:w="1728"/>
            <w:shd w:fill="FFFFFF"/>
            <w:tcMar>
              <w:top w:w="100" w:type="dxa"/>
              <w:bottom w:w="100" w:type="dxa"/>
              <w:left w:w="180" w:type="dxa"/>
              <w:right w:w="180" w:type="dxa"/>
            </w:tcMar>
            <w:vAlign w:val="center"/>
          </w:tcPr>
          <w:p>
            <w:r>
              <w:rPr>
                <w:rFonts w:ascii="Calibri" w:hAnsi="Calibri"/>
                <w:color w:val="212529"/>
                <w:sz w:val="18"/>
              </w:rPr>
              <w:t>REQ-01</w:t>
            </w:r>
          </w:p>
        </w:tc>
        <w:tc>
          <w:tcPr>
            <w:tcW w:type="dxa" w:w="4752"/>
            <w:shd w:fill="FFFFFF"/>
            <w:tcMar>
              <w:top w:w="100" w:type="dxa"/>
              <w:bottom w:w="100" w:type="dxa"/>
              <w:left w:w="180" w:type="dxa"/>
              <w:right w:w="180" w:type="dxa"/>
            </w:tcMar>
            <w:vAlign w:val="center"/>
          </w:tcPr>
          <w:p>
            <w:r>
              <w:rPr>
                <w:rFonts w:ascii="Calibri" w:hAnsi="Calibri"/>
                <w:color w:val="212529"/>
                <w:sz w:val="18"/>
              </w:rPr>
              <w:t>Admisión y etiquetado con código QR/barras de equipos en taller</w:t>
            </w:r>
          </w:p>
        </w:tc>
        <w:tc>
          <w:tcPr>
            <w:tcW w:type="dxa" w:w="2549"/>
            <w:shd w:fill="FFFFFF"/>
            <w:tcMar>
              <w:top w:w="100" w:type="dxa"/>
              <w:bottom w:w="100" w:type="dxa"/>
              <w:left w:w="180" w:type="dxa"/>
              <w:right w:w="180" w:type="dxa"/>
            </w:tcMar>
            <w:vAlign w:val="center"/>
          </w:tcPr>
          <w:p>
            <w:r>
              <w:rPr>
                <w:rFonts w:ascii="Calibri" w:hAnsi="Calibri"/>
                <w:color w:val="212529"/>
                <w:sz w:val="18"/>
              </w:rPr>
              <w:t>Must Have (Obligatorio)</w:t>
            </w:r>
          </w:p>
        </w:tc>
      </w:tr>
      <w:tr>
        <w:tc>
          <w:tcPr>
            <w:tcW w:type="dxa" w:w="1728"/>
            <w:shd w:fill="F7F9FC"/>
            <w:tcMar>
              <w:top w:w="100" w:type="dxa"/>
              <w:bottom w:w="100" w:type="dxa"/>
              <w:left w:w="180" w:type="dxa"/>
              <w:right w:w="180" w:type="dxa"/>
            </w:tcMar>
            <w:vAlign w:val="center"/>
          </w:tcPr>
          <w:p>
            <w:r>
              <w:rPr>
                <w:rFonts w:ascii="Calibri" w:hAnsi="Calibri"/>
                <w:color w:val="212529"/>
                <w:sz w:val="18"/>
              </w:rPr>
              <w:t>REQ-02</w:t>
            </w:r>
          </w:p>
        </w:tc>
        <w:tc>
          <w:tcPr>
            <w:tcW w:type="dxa" w:w="4752"/>
            <w:shd w:fill="F7F9FC"/>
            <w:tcMar>
              <w:top w:w="100" w:type="dxa"/>
              <w:bottom w:w="100" w:type="dxa"/>
              <w:left w:w="180" w:type="dxa"/>
              <w:right w:w="180" w:type="dxa"/>
            </w:tcMar>
            <w:vAlign w:val="center"/>
          </w:tcPr>
          <w:p>
            <w:r>
              <w:rPr>
                <w:rFonts w:ascii="Calibri" w:hAnsi="Calibri"/>
                <w:color w:val="212529"/>
                <w:sz w:val="18"/>
              </w:rPr>
              <w:t>Facturación masiva automática de contratos de mantenimiento mensual</w:t>
            </w:r>
          </w:p>
        </w:tc>
        <w:tc>
          <w:tcPr>
            <w:tcW w:type="dxa" w:w="2549"/>
            <w:shd w:fill="F7F9FC"/>
            <w:tcMar>
              <w:top w:w="100" w:type="dxa"/>
              <w:bottom w:w="100" w:type="dxa"/>
              <w:left w:w="180" w:type="dxa"/>
              <w:right w:w="180" w:type="dxa"/>
            </w:tcMar>
            <w:vAlign w:val="center"/>
          </w:tcPr>
          <w:p>
            <w:r>
              <w:rPr>
                <w:rFonts w:ascii="Calibri" w:hAnsi="Calibri"/>
                <w:color w:val="212529"/>
                <w:sz w:val="18"/>
              </w:rPr>
              <w:t>Must Have (Obligatorio)</w:t>
            </w:r>
          </w:p>
        </w:tc>
      </w:tr>
      <w:tr>
        <w:tc>
          <w:tcPr>
            <w:tcW w:type="dxa" w:w="1728"/>
            <w:shd w:fill="FFFFFF"/>
            <w:tcMar>
              <w:top w:w="100" w:type="dxa"/>
              <w:bottom w:w="100" w:type="dxa"/>
              <w:left w:w="180" w:type="dxa"/>
              <w:right w:w="180" w:type="dxa"/>
            </w:tcMar>
            <w:vAlign w:val="center"/>
          </w:tcPr>
          <w:p>
            <w:r>
              <w:rPr>
                <w:rFonts w:ascii="Calibri" w:hAnsi="Calibri"/>
                <w:color w:val="212529"/>
                <w:sz w:val="18"/>
              </w:rPr>
              <w:t>REQ-03</w:t>
            </w:r>
          </w:p>
        </w:tc>
        <w:tc>
          <w:tcPr>
            <w:tcW w:type="dxa" w:w="4752"/>
            <w:shd w:fill="FFFFFF"/>
            <w:tcMar>
              <w:top w:w="100" w:type="dxa"/>
              <w:bottom w:w="100" w:type="dxa"/>
              <w:left w:w="180" w:type="dxa"/>
              <w:right w:w="180" w:type="dxa"/>
            </w:tcMar>
            <w:vAlign w:val="center"/>
          </w:tcPr>
          <w:p>
            <w:r>
              <w:rPr>
                <w:rFonts w:ascii="Calibri" w:hAnsi="Calibri"/>
                <w:color w:val="212529"/>
                <w:sz w:val="18"/>
              </w:rPr>
              <w:t>Gestión de incidencias y cumplimiento de SLAs &lt;15 min en urgencias</w:t>
            </w:r>
          </w:p>
        </w:tc>
        <w:tc>
          <w:tcPr>
            <w:tcW w:type="dxa" w:w="2549"/>
            <w:shd w:fill="FFFFFF"/>
            <w:tcMar>
              <w:top w:w="100" w:type="dxa"/>
              <w:bottom w:w="100" w:type="dxa"/>
              <w:left w:w="180" w:type="dxa"/>
              <w:right w:w="180" w:type="dxa"/>
            </w:tcMar>
            <w:vAlign w:val="center"/>
          </w:tcPr>
          <w:p>
            <w:r>
              <w:rPr>
                <w:rFonts w:ascii="Calibri" w:hAnsi="Calibri"/>
                <w:color w:val="212529"/>
                <w:sz w:val="18"/>
              </w:rPr>
              <w:t>Must Have (Obligatorio)</w:t>
            </w:r>
          </w:p>
        </w:tc>
      </w:tr>
      <w:tr>
        <w:tc>
          <w:tcPr>
            <w:tcW w:type="dxa" w:w="1728"/>
            <w:shd w:fill="F7F9FC"/>
            <w:tcMar>
              <w:top w:w="100" w:type="dxa"/>
              <w:bottom w:w="100" w:type="dxa"/>
              <w:left w:w="180" w:type="dxa"/>
              <w:right w:w="180" w:type="dxa"/>
            </w:tcMar>
            <w:vAlign w:val="center"/>
          </w:tcPr>
          <w:p>
            <w:r>
              <w:rPr>
                <w:rFonts w:ascii="Calibri" w:hAnsi="Calibri"/>
                <w:color w:val="212529"/>
                <w:sz w:val="18"/>
              </w:rPr>
              <w:t>REQ-04</w:t>
            </w:r>
          </w:p>
        </w:tc>
        <w:tc>
          <w:tcPr>
            <w:tcW w:type="dxa" w:w="4752"/>
            <w:shd w:fill="F7F9FC"/>
            <w:tcMar>
              <w:top w:w="100" w:type="dxa"/>
              <w:bottom w:w="100" w:type="dxa"/>
              <w:left w:w="180" w:type="dxa"/>
              <w:right w:w="180" w:type="dxa"/>
            </w:tcMar>
            <w:vAlign w:val="center"/>
          </w:tcPr>
          <w:p>
            <w:r>
              <w:rPr>
                <w:rFonts w:ascii="Calibri" w:hAnsi="Calibri"/>
                <w:color w:val="212529"/>
                <w:sz w:val="18"/>
              </w:rPr>
              <w:t>Liquidación automatizada de contratos de coste por copia / click</w:t>
            </w:r>
          </w:p>
        </w:tc>
        <w:tc>
          <w:tcPr>
            <w:tcW w:type="dxa" w:w="2549"/>
            <w:shd w:fill="F7F9FC"/>
            <w:tcMar>
              <w:top w:w="100" w:type="dxa"/>
              <w:bottom w:w="100" w:type="dxa"/>
              <w:left w:w="180" w:type="dxa"/>
              <w:right w:w="180" w:type="dxa"/>
            </w:tcMar>
            <w:vAlign w:val="center"/>
          </w:tcPr>
          <w:p>
            <w:r>
              <w:rPr>
                <w:rFonts w:ascii="Calibri" w:hAnsi="Calibri"/>
                <w:color w:val="212529"/>
                <w:sz w:val="18"/>
              </w:rPr>
              <w:t>Must Have (Obligatorio)</w:t>
            </w:r>
          </w:p>
        </w:tc>
      </w:tr>
      <w:tr>
        <w:tc>
          <w:tcPr>
            <w:tcW w:type="dxa" w:w="1728"/>
            <w:shd w:fill="FFFFFF"/>
            <w:tcMar>
              <w:top w:w="100" w:type="dxa"/>
              <w:bottom w:w="100" w:type="dxa"/>
              <w:left w:w="180" w:type="dxa"/>
              <w:right w:w="180" w:type="dxa"/>
            </w:tcMar>
            <w:vAlign w:val="center"/>
          </w:tcPr>
          <w:p>
            <w:r>
              <w:rPr>
                <w:rFonts w:ascii="Calibri" w:hAnsi="Calibri"/>
                <w:color w:val="212529"/>
                <w:sz w:val="18"/>
              </w:rPr>
              <w:t>REQ-05</w:t>
            </w:r>
          </w:p>
        </w:tc>
        <w:tc>
          <w:tcPr>
            <w:tcW w:type="dxa" w:w="4752"/>
            <w:shd w:fill="FFFFFF"/>
            <w:tcMar>
              <w:top w:w="100" w:type="dxa"/>
              <w:bottom w:w="100" w:type="dxa"/>
              <w:left w:w="180" w:type="dxa"/>
              <w:right w:w="180" w:type="dxa"/>
            </w:tcMar>
            <w:vAlign w:val="center"/>
          </w:tcPr>
          <w:p>
            <w:r>
              <w:rPr>
                <w:rFonts w:ascii="Calibri" w:hAnsi="Calibri"/>
                <w:color w:val="212529"/>
                <w:sz w:val="18"/>
              </w:rPr>
              <w:t>Integración por API de formularios de captación de la web Vue</w:t>
            </w:r>
          </w:p>
        </w:tc>
        <w:tc>
          <w:tcPr>
            <w:tcW w:type="dxa" w:w="2549"/>
            <w:shd w:fill="FFFFFF"/>
            <w:tcMar>
              <w:top w:w="100" w:type="dxa"/>
              <w:bottom w:w="100" w:type="dxa"/>
              <w:left w:w="180" w:type="dxa"/>
              <w:right w:w="180" w:type="dxa"/>
            </w:tcMar>
            <w:vAlign w:val="center"/>
          </w:tcPr>
          <w:p>
            <w:r>
              <w:rPr>
                <w:rFonts w:ascii="Calibri" w:hAnsi="Calibri"/>
                <w:color w:val="212529"/>
                <w:sz w:val="18"/>
              </w:rPr>
              <w:t>Should Have (Muy Recomendable)</w:t>
            </w:r>
          </w:p>
        </w:tc>
      </w:tr>
      <w:tr>
        <w:tc>
          <w:tcPr>
            <w:tcW w:type="dxa" w:w="1728"/>
            <w:shd w:fill="F7F9FC"/>
            <w:tcMar>
              <w:top w:w="100" w:type="dxa"/>
              <w:bottom w:w="100" w:type="dxa"/>
              <w:left w:w="180" w:type="dxa"/>
              <w:right w:w="180" w:type="dxa"/>
            </w:tcMar>
            <w:vAlign w:val="center"/>
          </w:tcPr>
          <w:p>
            <w:r>
              <w:rPr>
                <w:rFonts w:ascii="Calibri" w:hAnsi="Calibri"/>
                <w:color w:val="212529"/>
                <w:sz w:val="18"/>
              </w:rPr>
              <w:t>REQ-06</w:t>
            </w:r>
          </w:p>
        </w:tc>
        <w:tc>
          <w:tcPr>
            <w:tcW w:type="dxa" w:w="4752"/>
            <w:shd w:fill="F7F9FC"/>
            <w:tcMar>
              <w:top w:w="100" w:type="dxa"/>
              <w:bottom w:w="100" w:type="dxa"/>
              <w:left w:w="180" w:type="dxa"/>
              <w:right w:w="180" w:type="dxa"/>
            </w:tcMar>
            <w:vAlign w:val="center"/>
          </w:tcPr>
          <w:p>
            <w:r>
              <w:rPr>
                <w:rFonts w:ascii="Calibri" w:hAnsi="Calibri"/>
                <w:color w:val="212529"/>
                <w:sz w:val="18"/>
              </w:rPr>
              <w:t>Portal web de autoservicio para consulta de tickets del cliente</w:t>
            </w:r>
          </w:p>
        </w:tc>
        <w:tc>
          <w:tcPr>
            <w:tcW w:type="dxa" w:w="2549"/>
            <w:shd w:fill="F7F9FC"/>
            <w:tcMar>
              <w:top w:w="100" w:type="dxa"/>
              <w:bottom w:w="100" w:type="dxa"/>
              <w:left w:w="180" w:type="dxa"/>
              <w:right w:w="180" w:type="dxa"/>
            </w:tcMar>
            <w:vAlign w:val="center"/>
          </w:tcPr>
          <w:p>
            <w:r>
              <w:rPr>
                <w:rFonts w:ascii="Calibri" w:hAnsi="Calibri"/>
                <w:color w:val="212529"/>
                <w:sz w:val="18"/>
              </w:rPr>
              <w:t>Could Have (Deseable Fase 2)</w:t>
            </w:r>
          </w:p>
        </w:tc>
      </w:tr>
    </w:tbl>
    <w:p>
      <w:pPr>
        <w:keepNext/>
        <w:spacing w:before="320" w:after="120"/>
      </w:pPr>
      <w:r>
        <w:rPr>
          <w:rFonts w:ascii="Calibri" w:hAnsi="Calibri"/>
          <w:b/>
          <w:color w:val="4DB7E3"/>
          <w:sz w:val="26"/>
        </w:rPr>
        <w:t>10.2. Glosario Técnico de Términos Empresariales</w:t>
      </w:r>
    </w:p>
    <w:p>
      <w:pPr>
        <w:pStyle w:val="ListBullet"/>
        <w:spacing w:before="0" w:after="80" w:line="276" w:lineRule="auto"/>
      </w:pPr>
      <w:r>
        <w:rPr>
          <w:rFonts w:ascii="Calibri" w:hAnsi="Calibri"/>
          <w:b/>
          <w:color w:val="212529"/>
          <w:sz w:val="20"/>
        </w:rPr>
        <w:t xml:space="preserve">CRM: </w:t>
      </w:r>
      <w:r>
        <w:rPr>
          <w:rFonts w:ascii="Calibri" w:hAnsi="Calibri"/>
          <w:color w:val="212529"/>
          <w:sz w:val="20"/>
        </w:rPr>
        <w:t xml:space="preserve"> Acrónimo de Customer Relationship Management. Sistema de gestión de relaciones comerciales, contactos, oportunidades y atención a clientes.</w:t>
      </w:r>
    </w:p>
    <w:p>
      <w:pPr>
        <w:pStyle w:val="ListBullet"/>
        <w:spacing w:before="0" w:after="80" w:line="276" w:lineRule="auto"/>
      </w:pPr>
      <w:r>
        <w:rPr>
          <w:rFonts w:ascii="Calibri" w:hAnsi="Calibri"/>
          <w:b/>
          <w:color w:val="212529"/>
          <w:sz w:val="20"/>
        </w:rPr>
        <w:t xml:space="preserve">ERP: </w:t>
      </w:r>
      <w:r>
        <w:rPr>
          <w:rFonts w:ascii="Calibri" w:hAnsi="Calibri"/>
          <w:color w:val="212529"/>
          <w:sz w:val="20"/>
        </w:rPr>
        <w:t xml:space="preserve"> Acrónimo de Enterprise Resource Planning. Sistema integral de planificación de recursos empresariales que centraliza inventario, facturación, compras y contabilidad.</w:t>
      </w:r>
    </w:p>
    <w:p>
      <w:pPr>
        <w:pStyle w:val="ListBullet"/>
        <w:spacing w:before="0" w:after="80" w:line="276" w:lineRule="auto"/>
      </w:pPr>
      <w:r>
        <w:rPr>
          <w:rFonts w:ascii="Calibri" w:hAnsi="Calibri"/>
          <w:b/>
          <w:color w:val="212529"/>
          <w:sz w:val="20"/>
        </w:rPr>
        <w:t xml:space="preserve">SAT: </w:t>
      </w:r>
      <w:r>
        <w:rPr>
          <w:rFonts w:ascii="Calibri" w:hAnsi="Calibri"/>
          <w:color w:val="212529"/>
          <w:sz w:val="20"/>
        </w:rPr>
        <w:t xml:space="preserve"> Servicio de Asistencia Técnica. Departamento y conjunto de procesos dedicados al diagnóstico, mantenimiento y reparación de equipos informáticos e impresoras.</w:t>
      </w:r>
    </w:p>
    <w:p>
      <w:pPr>
        <w:pStyle w:val="ListBullet"/>
        <w:spacing w:before="0" w:after="80" w:line="276" w:lineRule="auto"/>
      </w:pPr>
      <w:r>
        <w:rPr>
          <w:rFonts w:ascii="Calibri" w:hAnsi="Calibri"/>
          <w:b/>
          <w:color w:val="212529"/>
          <w:sz w:val="20"/>
        </w:rPr>
        <w:t xml:space="preserve">SLA: </w:t>
      </w:r>
      <w:r>
        <w:rPr>
          <w:rFonts w:ascii="Calibri" w:hAnsi="Calibri"/>
          <w:color w:val="212529"/>
          <w:sz w:val="20"/>
        </w:rPr>
        <w:t xml:space="preserve"> Service Level Agreement (Acuerdo de Nivel de Servicio). Compromiso contractual de tiempos de atención y resolución ante incidencias técnicas (p. ej. respuesta &lt;15m).</w:t>
      </w:r>
    </w:p>
    <w:p>
      <w:pPr>
        <w:pStyle w:val="ListBullet"/>
        <w:spacing w:before="0" w:after="80" w:line="276" w:lineRule="auto"/>
      </w:pPr>
      <w:r>
        <w:rPr>
          <w:rFonts w:ascii="Calibri" w:hAnsi="Calibri"/>
          <w:b/>
          <w:color w:val="212529"/>
          <w:sz w:val="20"/>
        </w:rPr>
        <w:t xml:space="preserve">Pago por Uso: </w:t>
      </w:r>
      <w:r>
        <w:rPr>
          <w:rFonts w:ascii="Calibri" w:hAnsi="Calibri"/>
          <w:color w:val="212529"/>
          <w:sz w:val="20"/>
        </w:rPr>
        <w:t xml:space="preserve"> Cost-Per-Page / Coste por Copia. Modelo en el que el cliente paga un importe unitario por cada página impresa, incluyendo el suministro de tóner y mantenimiento.</w:t>
      </w:r>
    </w:p>
    <w:p>
      <w:pPr>
        <w:pStyle w:val="ListBullet"/>
        <w:spacing w:before="0" w:after="80" w:line="276" w:lineRule="auto"/>
      </w:pPr>
      <w:r>
        <w:rPr>
          <w:rFonts w:ascii="Calibri" w:hAnsi="Calibri"/>
          <w:b/>
          <w:color w:val="212529"/>
          <w:sz w:val="20"/>
        </w:rPr>
        <w:t xml:space="preserve">RMA: </w:t>
      </w:r>
      <w:r>
        <w:rPr>
          <w:rFonts w:ascii="Calibri" w:hAnsi="Calibri"/>
          <w:color w:val="212529"/>
          <w:sz w:val="20"/>
        </w:rPr>
        <w:t xml:space="preserve"> Return Merchandise Authorization. Proceso estructurado de tramitación de garantías y devolución de piezas defectuosas a mayoristas o fabricantes (Brother/HP).</w:t>
      </w:r>
    </w:p>
    <w:p>
      <w:pPr>
        <w:pStyle w:val="ListBullet"/>
        <w:spacing w:before="0" w:after="80" w:line="276" w:lineRule="auto"/>
      </w:pPr>
      <w:r>
        <w:rPr>
          <w:rFonts w:ascii="Calibri" w:hAnsi="Calibri"/>
          <w:b/>
          <w:color w:val="212529"/>
          <w:sz w:val="20"/>
        </w:rPr>
        <w:t xml:space="preserve">EDR: </w:t>
      </w:r>
      <w:r>
        <w:rPr>
          <w:rFonts w:ascii="Calibri" w:hAnsi="Calibri"/>
          <w:color w:val="212529"/>
          <w:sz w:val="20"/>
        </w:rPr>
        <w:t xml:space="preserve"> Endpoint Detection and Response. Tecnología avanzada de ciberseguridad gestionada que monitoriza continuamente los equipos para bloquear amenazas complejas.</w:t>
      </w:r>
    </w:p>
    <w:p>
      <w:pPr>
        <w:pStyle w:val="ListBullet"/>
        <w:spacing w:before="0" w:after="80" w:line="276" w:lineRule="auto"/>
      </w:pPr>
      <w:r>
        <w:rPr>
          <w:rFonts w:ascii="Calibri" w:hAnsi="Calibri"/>
          <w:b/>
          <w:color w:val="212529"/>
          <w:sz w:val="20"/>
        </w:rPr>
        <w:t xml:space="preserve">Microsoft Fabric: </w:t>
      </w:r>
      <w:r>
        <w:rPr>
          <w:rFonts w:ascii="Calibri" w:hAnsi="Calibri"/>
          <w:color w:val="212529"/>
          <w:sz w:val="20"/>
        </w:rPr>
        <w:t xml:space="preserve"> Nube analítica unificada de Microsoft que centraliza data lakes (OneLake), almacenamiento, ingeniería de datos e inteligencia artificial en una sola plataforma.</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C757D"/>
        <w:sz w:val="16"/>
      </w:rPr>
      <w:t>CONFIDENCIAL - Uso exclusivo para la Dirección y Consultoría de IMAX PC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C757D"/>
        <w:sz w:val="16"/>
      </w:rPr>
      <w:t>ESTUDIO DE INFORMATIZACIÓN INTEGRAL ERP/CRM | IMAXSYSTEM, S.L.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