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Municipal de Infraestrutura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Manutenção e Serviços Gerais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Eng. João Carlos Pereira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para prestação de serviços técnicos continuados de manutenção elétrica predial e de infraestrutura pública, em regime de hora/homem, com atendimento sob demanda, abrangendo prédios públicos municipais, instalações de eventos, sistemas de bombeamento e automação, conforme as normas NBR 5410 e NR 10.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Municipal 2024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Nova Esperança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contratação destes serviços se justifica pela necessidade de manter a infraestrutura elétrica dos prédios públicos e instalações municipais em perfeito estado de funcionamento e segurança, atendendo a crescente demanda por serviços públicos de qualidade e garantindo a continuidade das atividades administrativas e eventos oficiais sem interrupções devido a falhas elétricas.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Este projeto impactará diretamente na meta de aumento da eficiência energética e redução de custos com manutenção emergencial, proporcionando uma infraestrutura mais segura e eficiente.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manutenção preventiva e corretiva em sistemas elétricos, instalação e desinstalação de infraestrutura elétrica para eventos, manutenção em sistemas de bombeamento e painéis elétricos, atendimento emergencial e adequação às normas regulamentadoras vigentes.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serviços devem ser executados conforme as normas técnicas aplicáveis (NBR 5410, NR 10), com registro de ART por serviço executado, documentação técnica detalhada e relatórios mensais de atividades.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envolvem a exposição a componentes elétricos energizados, alturas e espaços confinados, requerendo rigorosas medidas de controle e segurança conforme NR 10.</w:t>
      </w:r>
    </w:p>
    <w:p w14:paraId="27439429" w14:textId="77777777" w:rsidR="00837796" w:rsidRDefault="00000000">
      <w:r>
        <w:t>Normas: NR 10 (Segurança em Instalações e Serviços em Eletricidade), NR 35 (Trabalho em Altura) e NR 33 (Segurança e Saúde nos Trabalhos em Espaços Confinados)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justificativa para os riscos identificados se baseia na natureza dos trabalhos de manutenção elétrica que envolvem riscos inerentes, sendo imperativo seguir as normas regulamentadoras para prevenir acidentes e garantir a segurança dos trabalhadores.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Contratação de mão de obra temporária para atendimento das demandas, o que pode não garantir a continuidade e qualidade dos serviços prestados.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Realização dos serviços por equipes internas, o que exigiria investimentos em capacitação e não cobriria todas as competências necessárias.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contratação de uma empresa especializada é a alternativa mais viável, considerando a complexidade e abrangência dos serviços requeridos.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 inclui o aumento do custo com manutenções corretivas emergenciais e o risco aumentado de acidentes por falhas no sistema elétrico.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 de ação inclui a contratação emergencial para atendimento das necessidades mais críticas enquanto se processa a licitação.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meses, com possibilidade de prorrogação conforme desempenho e necessidade.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mensal baseado nas horas trabalhadas e serviços prestados, conforme medições e relatórios aprovados pela fiscalização.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12 meses com possibilidade de renovação por iguais e sucessivos períodos até o limite legal.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30 dias após a apresentação e aprovação dos relatórios mensais de serviço e respectivas medições.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9 (Indústria, Inovação e Infraestrutura) e ODS 11 (Cidades e Comunidades Sustentáveis)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Implementação de práticas de eficiência energética e uso de equipamentos com selo PROCEL, visando a redução do consumo de energia.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realizada pelo sistema interno de controle, assegurando que não há contratos vigentes com objetos similares.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legal e conformidade com a Lei nº 14.133/2021 e legislação correlata.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projeto disponibilizado no portal da transparência, incluindo escopo, valor, critérios de seleção e empresa contratada.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Seção de FAQ no portal da transparência explicando o motivo da contratação, os benefícios esperados e como acompanhar a execução dos serviços.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Informações atualizadas no portal da transparência dentro de 5 dias úteis após cada etapa concluída ou evento relevante.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 certificada para todos os documentos contratuais, garantindo a integridade e legalidade dos mesmos.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 05 de maio de 2025</w:t>
      </w:r>
    </w:p>
    <w:p w14:paraId="57248593" w14:textId="77777777" w:rsidR="00837796" w:rsidRDefault="00000000">
      <w:r>
        <w:t>Carlos Eduardo de Almeida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