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Setor de Tecnologia da Informação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Desenvolvimento e Inovação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Coordenador de Projetos de TI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O objeto desta contratação é a aquisição de serviços especializados para o desenvolvimento, implementação e manutenção de um Sistema de Gestão Educacional que possibilite a administração integral das funcionalidades pedagógicas e administrativas de instituições de ensino. O sistema deve garantir a integração de módulos de cadastro, matrículas, avaliações, diários de classe digitais, comunicação interna, gestão financeira e conformidade com a Lei Geral de Proteção de Dados (LGPD).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previamente alocado para melhorias educacionais e tecnológicas para o ano fiscal corrente, conforme plano anual de investimentos em tecnologia da informação.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Secretaria de Educação e Tecnologia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implementação de um Sistema de Gestão Educacional integrado é imperativa para a modernização das práticas pedagógicas e administrativas, proporcionando uma gestão mais eficiente, redução de custos operacionais, melhor comunicação entre os stakeholders e adequação às normativas de segurança e privacidade de dados.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O projeto alinha-se com as metas estratégicas de digitalização dos serviços públicos, visando o aumento da eficiência operacional, a melhoria do acesso às informações por parte dos cidadãos e a transparência da gestão pública.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análise de requisitos, desenvolvimento de software, testes, implementação do sistema em ambiente de produção, capacitação dos usuários, suporte técnico contínuo e manutenção evolutiva e corretiva.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 sistema deve ser desenvolvido utilizando tecnologias modernas que suportem uma arquitetura escalável e segura. Deve ser compatível com diversos dispositivos e navegadores, oferecendo interfaces responsivas e acessíveis, além de garantir a segurança dos dados conforme a LGPD.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principais riscos ocupacionais envolvem o manejo inadequado das informações durante as etapas de desenvolvimento e teste, que podem levar a vazamentos de dados. Ações preventivas incluem treinamentos e adoção de protocolos de segurança.</w:t>
      </w:r>
    </w:p>
    <w:p w14:paraId="27439429" w14:textId="77777777" w:rsidR="00837796" w:rsidRDefault="00000000">
      <w:r>
        <w:t>Normas: O projeto deve aderir às normas NBR ISO/IEC 27001 para gestão de segurança da informação, além das diretrizes da Lei Geral de Proteção de Dados (LGPD).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identificação e gestão dos riscos são essenciais para garantir a integridade e confidencialidade das informações, além de assegurar a continuidade dos serviços educacionais sem interrupções.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Contratação de múltiplos fornecedores para diferentes módulos do sistema, o que pode permitir especialização, porém aumenta a complexidade de integração e gestão do projeto.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Desenvolvimento interno com recursos próprios, o que pode reduzir custos iniciais, mas requer tempo de desenvolvimento maior e pode faltar expertise específica.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de uma empresa especializada é a alternativa mais viável, pois combina expertise técnica com garantia de entrega dentro do prazo e orçamento, além de proporcionar manutenção e suporte contínuos.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inércia, ou seja, de não realizar a contratação, implica na continuação de processos obsoletos, ineficiência operacional e não conformidade com normas de segurança e privacidade.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será realizada uma análise de impacto, seguida pela elaboração de um plano de ação emergencial que inclui a atualização dos sistemas existentes enquanto a nova solução não é implementada.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para a execução total do projeto é estimado em 12 meses, incluindo todas as etapas de desenvolvimento, testes e implementação.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O pagamento será realizado em etapas, conforme a entrega e aceitação de cada módulo do sistema, com cláusulas de penalidade para atrasos e não conformidades.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O contrato terá vigência de 36 meses, incluindo o período de manutenção e suporte técnico após a implementação do sistema.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incluirão parcelas mensais, condicionadas à entrega de relatórios de progresso e marcos de projeto aprovados pela contratante.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Este projeto contribui para o Objetivo de Desenvolvimento Sustentável (ODS) 4 - Educação de qualidade, promovendo a inclusão e a equidade na educação através da tecnologia.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O projeto prevê a redução do uso de papel através da digitalização de processos e a implementação de práticas de TI verde, contribuindo para a sustentabilidade ambiental.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Será realizada uma verificação de duplicidade utilizando ferramentas de análise de dados para garantir que não existam contratos similares em execução ou planejamento.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do projeto será realizada através de testes contínuos durante o ciclo de desenvolvimento e através de uma auditoria externa após a implementação.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O resumo do projeto será publicado no portal de transparência do órgão, incluindo objetivos, prazos, custos envolvidos e benefícios esperados, permitindo o acompanhamento público e a fiscalização.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Será desenvolvido um FAQ disponível no portal de transparência para esclarecer as dúvidas mais comuns da população e partes interessadas sobre o projeto.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O prazo para manutenção da transparência ativa será durante todo o período de vigência do contrato, com atualizações periódicas conforme o desenvolvimento do projeto.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O contrato será assinado digitalmente, em conformidade com a legislação vigente sobre documentos eletrônicos, garantindo a validade jurídica e a segurança das informações.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 06 de maio de 2025</w:t>
      </w:r>
    </w:p>
    <w:p w14:paraId="57248593" w14:textId="77777777" w:rsidR="00837796" w:rsidRDefault="00000000">
      <w:r>
        <w:t>Carlos Eduardo Almeida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