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Municipal de Infraestrutura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Manutenção de Infraestruturas Públicas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João Carlos Silva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serviços de manutenção elétrica preventiva e corretiva nos prédios públicos municipais, incluindo diagnóstico, reparos em instalações elétricas existentes e substituições de componentes danificados para garantir a segurança e o adequado funcionamento das instalações.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municipal proveniente da alocação de recursos para a manutenção de infraestrutura pública municipal.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Prefeitura Municipal de São Gonçalo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demanda por serviços elétricos é crucial para manter a funcionalidade e segurança das instalações dos prédios municipais, evitando falhas no fornecimento de energia que possam afetar o desempenho dos serviços públicos e a segurança dos frequentadores e funcionários.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A realização dos serviços elétricos está alinhada com as metas municipais de manutenção da infraestrutura pública, otimizando recursos e evitando gastos emergenciais com reparos não planejados.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envolve a avaliação das condições atuais das instalações elétricas, a execução de manutenções preventivas e corretivas, e a substituição de componentes elétricos que não estejam em conformidade com as normas técnicas vigentes.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serviços deverão ser executados por profissionais com certificação técnica em eletricidade, seguindo as normas da ABNT e do Código de Obras e Edificações local. Todos os materiais utilizados devem possuir certificação do INMETRO.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incluem choques elétricos, quedas de altura durante a realização dos serviços e incêndios devido a curtos-circuitos em instalações defeituosas.</w:t>
      </w:r>
    </w:p>
    <w:p w14:paraId="27439429" w14:textId="77777777" w:rsidR="00837796" w:rsidRDefault="00000000">
      <w:r>
        <w:t>Normas: As normas reguladoras aplicáveis incluem a NR-10, que trata da segurança em instalações e serviços em eletricidade, e a NR-35 que regula o trabalho em altura.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justificativa para os riscos identificados se baseia no potencial de acidentes graves que podem ocorrer sem a devida manutenção das instalações elétricas, justificando a necessidade de contratação de serviços especializados e conformes às normas de segurança.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Realização dos serviços com recursos próprios do município, o que exigiria contratação e formação de equipe técnica própria.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serviços temporários por meio de empresas especializadas em manutenção elétrica.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contratação de uma empresa especializada é mais viável economicamente e tecnicamente, garantindo a execução rápida e eficiente dos serviços necessários com menor risco para a administração pública.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 inclui o aumento da probabilidade de falhas elétricas que podem levar a interrupções no funcionamento de serviços essenciais e riscos à segurança dos usuários dos prédios municipais.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Para mitigar os riscos de inércia, propõe-se a implementação imediata do processo de licitação para seleção de empresa capacitada e a realização de manutenções periódicas conforme o contrato estabelecido.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para execução dos serviços será de 12 meses a partir da data de assinatura do contrato, com revisões trimestrais das instalações.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O pagamento será realizado mensalmente, baseado na apresentação de relatórios de atividades concluídas e aferição dos serviços por equipe técnica do município.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O contrato terá vigência de 24 meses, com possibilidade de renovação conforme avaliação de desempenho e necessidade do serviço.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As condições de pagamento incluirão cláusulas de retenção de pagamento para casos de não cumprimento das especificações técnicas ou atrasos injustificados.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Este projeto contribui para o Objetivo de Desenvolvimento Sustentável (ODS) número 9, que trata de indústria, inovação e infraestrutura, ao promover manutenção e melhorias em infraestrutura pública.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A ação sustentável incluída na execução deste serviço será o uso de materiais e componentes elétricos com certificação de baixo impacto ambiental.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A verificação de duplicidade será realizada por meio do sistema integrado de gestão de contratos para assegurar que não existam contratos vigentes que cubram a mesma demanda.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A validação da demanda será feita através de inspeções regulares nas instalações elétricas dos prédios municipais e relatórios de incidentes recentes que justifiquem a necessidade imediata dos serviços.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O resumo para transparência será publicado no portal da transparência do município, incluindo detalhes do contrato, processos de seleção e execução dos serviços, assegurando a clareza e o acesso público às informações.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O FAQ para transparência responderá às perguntas mais frequentes da população sobre o escopo dos serviços, a seleção do fornecedor e as medidas de segurança adotadas, disponibilizado também no portal da transparência.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O prazo para manutenção das informações no portal da transparência será enquanto o contrato estiver vigente, com atualizações mensais.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 assinatura do contrato será realizada em formato digital, para agilizar o processo e garantir a segurança dos dados, em conformidade com a legislação sobre documentos eletrônicos.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SãO SIMãO, 06 de maio de 2025</w:t>
      </w:r>
    </w:p>
    <w:p w14:paraId="57248593" w14:textId="77777777" w:rsidR="00837796" w:rsidRDefault="00000000">
      <w:r>
        <w:t>Carlos Eduardo de Almeida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