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Setor de Tecnologia da Informação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Compras e Licitações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João Carlos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Aquisição de equipamentos de informática de alta performance para otimizar as operações de processamento de dados dentro do órgão. Os equipamentos incluem servidores, estações de trabalho e dispositivos de armazenamento compatíveis com as demandas atuais de velocidade e segurança da informação.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destinado para atualização tecnológica previsto no plano anual do órgão, conforme alocação de recursos do exercício financeiro corrente.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Coordenação Geral de Tecnologia da Informação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atualização dos equipamentos de informática se faz necessária para enfrentar os crescentes desafios de segurança digital e volume de dados processados. Com tecnologia obsoleta, o órgão corre riscos significativos de falhas de sistema e ataques cibernéticos, comprometendo a integridade e confidencialidade das informações públicas.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aquisição dos novos equipamentos está alinhada com as metas do órgão de aumentar a eficiência operacional e garantir a segurança da informação, conforme estipulado no plano diretor de tecnologia.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projeto inclui a aquisição de 20 servidores de alta capacidade, 50 estações de trabalho e 10 unidades de armazenamento seguro. Inclui também a instalação, configuração e treinamento técnico para uso dos equipamentos.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servidores devem possuir no mínimo 64GB de RAM, processadores de última geração com no mínimo 16 núcleos, e capacidade de armazenamento escalável. As estações de trabalho devem ter processadores com no mínimo 8 núcleos, 32GB de RAM e SSDs de 1TB. Todos os equipamentos devem ter garantia mínima de 5 anos.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envolvem a ergonomia no manuseio dos equipamentos durante a instalação e manutenção, necessitando de protocolos de segurança para prevenir lesões.</w:t>
      </w:r>
    </w:p>
    <w:p w14:paraId="27439429" w14:textId="77777777" w:rsidR="00837796" w:rsidRDefault="00000000">
      <w:r>
        <w:t>Normas: Todos os equipamentos deverão atender às normas nacionais e internacionais de segurança e desempenho, incluindo certificações ISO e IEC relevantes para equipamentos de TI.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justificativa para os riscos identificados inclui a necessidade de conformidade com normas de segurança para proteger os operadores e os dados processados. As normas são essenciais para garantir a operação segura e eficiente dos equipamentos.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Continuar com os equipamentos atuais, aumentando o risco de falhas e ataques cibernéticos, com impacto direto na eficiência e segurança operacional.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Contratar serviços de cloud computing para algumas operações, reduzindo a necessidade de atualização de todos os equipamentos imediatamente.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aquisição direta dos equipamentos é mais viável economicamente a longo prazo, considerando os custos associados à dependência de serviços de terceiros e aos riscos de segurança com equipamentos obsoletos.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 inclui aumentos significativos no tempo de resposta do sistema, falhas frequentes de hardware e vulnerabilidades elevadas a ataques cibernéticos.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O plano para mitigar o risco de inércia envolve a implementação imediata do projeto de atualização tecnológica, com revisões periódicas do desempenho e segurança dos equipamentos.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para execução total do projeto é de 6 meses a partir da data de assinatura do contrato, incluindo a fase de aquisição, instalação e treinamento.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em parcelas, condicionadas à entrega e à instalação satisfatória dos equipamentos, conforme milestones definidos no contrato.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O contrato terá vigência de 5 anos, incluindo o período de garantia e suporte técnico.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incluirão cláusulas de penalidade para atrasos e não conformidades, garantindo a entrega e instalação dentro dos padrões e prazos estipulados.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Os Objetivos de Desenvolvimento Sustentável (ODS) vinculados incluem o ODS 9 (Indústria, Inovação e Infraestrutura) e ODS 11 (Cidades e Comunidades Sustentáveis).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 ação sustentável inclui a escolha de equipamentos com selos de eficiência energética, além da disposição adequada dos equipamentos antigos, seguindo normativas ambientais para reciclagem e redução de resíduos.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A verificação de duplicidade será realizada através de sistemas integrados de gestão de ativos para assegurar que não há aquisições sobrepostas ou desnecessárias.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da necessidade e especificações será feita por meio de análises comparativas e consultas ao mercado, garantindo que a compra esteja alinhada com as melhores práticas e tecnologias disponíveis.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Este documento será disponibilizado no portal da transparência do órgão, incluindo detalhes sobre o processo de licitação, critérios de escolha e justificativas para a aquisição, promovendo a clareza e abertura para o público.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Um FAQ será elaborado para esclarecer as perguntas mais frequentes relativas ao projeto, incluindo aspectos técnicos, prazos e impactos esperados, disponível no site do órgão.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A transparência do processo será assegurada durante toda a vigência do contrato, com atualizações periódicas no portal da transparência.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assinatura do contrato será realizada digitalmente, utilizando certificados ICP-Brasil, garantindo a autenticidade e segurança jurídica necessária.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ARAMINA, 06 de maio de 2025</w:t>
      </w:r>
    </w:p>
    <w:p w14:paraId="57248593" w14:textId="77777777" w:rsidR="00837796" w:rsidRDefault="00000000">
      <w:r>
        <w:t>Carlos Eduardo Almeida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R. Dr. Bráulio de Andrade Junqueira, 795 - Centro – Aramina –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