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Departamento de Infraestrutura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Secretaria de Administração Pública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Eletricista José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na prestação de serviços de manutenção elétrica preventiva e corretiva, incluindo a substituição de componentes danificados e a instalação de novos sistemas de iluminação em conformidade com as normas técnicas vigentes, para garantir o funcionamento adequado das instalações elétricas do prédio público.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R$ 200.000,00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aprovado pelo Ministério da Economia, destinado especificamente para a manutenção e melhoria da infraestrutura dos prédios públicos federais.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Prédio da Administração Federal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manutenção elétrica é essencial para garantir a segurança das instalações e das pessoas que frequentam o prédio público. A ausência de manutenção adequada pode resultar em acidentes, como curtos-circuitos e incêndios, além de interrupções no fornecimento de energia, prejudicando o andamento das atividades administrativas e serviços oferecidos ao público.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Este projeto contribuirá diretamente para a meta de melhoria da infraestrutura pública, conforme estabelecido no plano plurianual, e para a eficiência energética, reduzindo custos a longo prazo com energia elétrica.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projeto inclui a inspeção de toda a rede elétrica, a substituição de fios e cabos danificados, a instalação de novos circuitos de iluminação, testes de segurança, e a emissão de certificados de conformidade com as normas técnicas.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 empresa contratada deverá possuir certificação técnica na área de serviços elétricos, comprovante de regularidade fiscal e trabalhista, e experiência comprovada em projetos similares de grande porte.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trabalhos envolvem riscos de choques elétricos, quedas de altura e contato com materiais perigosos, requerendo a implementação de rigorosas medidas de segurança ocupacional.</w:t>
      </w:r>
    </w:p>
    <w:p w14:paraId="27439429" w14:textId="77777777" w:rsidR="00837796" w:rsidRDefault="00000000">
      <w:r>
        <w:t>Normas: Todas as atividades deverão seguir as normas regulamentadoras NR-10 (Segurança em Instalações e Serviços em Eletricidade) e NR-35 (Trabalho em Altura), garantindo a segurança dos trabalhadores.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justificativa para os riscos identificados baseia-se na necessidade de realizar intervenções em um sistema elétrico complexo e potencialmente perigoso, o que exige profissionais altamente qualificados e medidas de segurança específicas.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Realizar a manutenção apenas corretiva, intervindo somente quando ocorrerem falhas.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Contratar serviços de manutenção periódica e preventiva, reduzindo o risco de falhas inesperadas e aumentando a vida útil dos equipamentos.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segunda alternativa é mais adequada, pois permite uma gestão de riscos mais eficaz, reduzindo custos a longo prazo e garantindo maior segurança e eficiência energética.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inércia, ou seja, de não realizar a manutenção, inclui o aumento da probabilidade de falhas graves, que podem resultar em acidentes e interrupções prolongadas dos serviços públicos.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 risco de inércia, será implementado um plano de ação que inclui a contratação emergencial em caso de falhas graves e a revisão periódica das instalações.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 a partir da assinatura do contrato, com possibilidade de renovação por igual período, dependendo da avaliação de desempenho e da disponibilidade orçamentária.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O pagamento será realizado mensalmente, após a entrega dos relatórios de manutenção e a verificação da qualidade dos serviços prestados.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O contrato terá vigência de 12 meses, com possibilidade de prorrogação por períodos adicionais, conforme necessidade e disponibilidade orçamentária.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incluirão cláusulas de retenção de parte do valor até a verificação final da qualidade dos serviços e a entrega de todos os documentos comprobatórios.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7 (Energia Acessível e Limpa), ODS 9 (Indústria, Inovação e Infraestrutura) e ODS 11 (Cidades e Comunidades Sustentáveis)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Inclusão de tecnologias de eficiência energética e uso de materiais sustentáveis na realização dos serviços.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automatizada através de sistemas de gestão para garantir que não haja duplicidade nas contratações ou sobreposições com outros contratos vigentes.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das condições técnicas e legais da empresa contratada utilizando sistemas de inteligência artificial para análise de dados cadastrais e de compliance.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projeto disponibilizado no portal da transparência, incluindo objetivos, valores envolvidos, empresa contratada e prazos de execução, assegurando a clareza e acesso à informação pelo público geral.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Seção de perguntas frequentes (FAQ) disponível no portal da transparência para esclarecer dúvidas comuns sobre o processo de contratação e a execução dos serviços.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Atualizações trimestrais sobre o andamento do projeto, com informações detalhadas sobre os avanços e desafios enfrentados, garantindo a transparência contínua do processo.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eletrônica certificada pelo ICP-Brasil, garantindo a validade jurídica e a segurança dos dados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ARAMINA, 06 de maio de 2025</w:t>
      </w:r>
    </w:p>
    <w:p w14:paraId="57248593" w14:textId="77777777" w:rsidR="00837796" w:rsidRDefault="00000000">
      <w:r>
        <w:t>Carlos Eduardo Silva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R. Dr. Bráulio de Andrade Junqueira, 795 - Centro – Aramina –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