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Requisitante: Secretaria de Infraestrutura, Agricultura e Meio Ambiente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Departamento de Logística e Suprimentos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Diretor de Logística e Suprimentos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O objeto desta demanda é a locação de equipamentos pesados especificamente trator de esteira, caminhão munck, caminhão hidrovácuo e caminhão caçamba com capacidade de 12m³, destinados a atender as necessidades operacionais da Secretaria de Infraestrutura, Agricultura e Meio Ambiente do município de Buritizal. Estes equipamentos são essenciais para execução de obras públicas, manutenção de vias, limpeza e desobstrução de áreas públicas, contribuindo significativamente para a manutenção da infraestrutura municipal.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R$ 00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Recursos provenientes do orçamento municipal destinados especificamente para a manutenção e desenvolvimento da infraestrutura urbana e rural do município.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Unidade de Gestão de Contratos e Projetos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A locação desses equipamentos é justificada pela necessidade contínua de manutenção e expansão da infraestrutura municipal, onde a aquisição de tais equipamentos representaria um alto custo de investimento inicial, além de custos com manutenção e armazenamento. A locação oferece uma solução flexível e econômica, permitindo a utilização de equipamentos modernos e bem mantidos, garantindo eficiência e redução de paradas técnicas.</w:t>
      </w:r>
    </w:p>
    <w:p w14:paraId="2C15923D" w14:textId="09D4A11C" w:rsidR="00837796" w:rsidRDefault="00000000" w:rsidP="00DE2206">
      <w:r>
        <w:t xml:space="preserve">Meta de </w:t>
      </w:r>
      <w:proofErr w:type="spellStart"/>
      <w:r>
        <w:t>impacto</w:t>
      </w:r>
      <w:proofErr w:type="spellEnd"/>
      <w:r>
        <w:t>: A contratação dos equipamentos está alinhada com as metas de desenvolvimento e manutenção urbana e rural do município, contribuindo para a melhoria da qualidade de vida dos habitantes, facilitação do tráfego local e prevenção de problemas ambientais decorrentes do mau estado de conservação de infraestruturas.</w:t>
      </w:r>
    </w:p>
    <w:p w14:paraId="5297EADA" w14:textId="4424AB54" w:rsidR="00837796" w:rsidRDefault="00DE2206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O escopo do projeto inclui a locação dos equipamentos, operação pelos técnicos qualificados do fornecedor, manutenção preventiva e corretiva, e eventual substituição de equipamentos em caso de falha, garantindo a continuidade dos serviços sem interrupções.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Os equipamentos devem atender às normas técnicas brasileiras aplicáveis, possuir seguro completo contra todos os riscos, incluir assistência técnica rápida e eficaz durante todo o período de locação e serem equipados com tecnologias que permitam um baixo consumo de combustível e reduzida emissão de poluentes.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Os riscos ocupacionais envolvem acidentes de trabalho relacionados ao uso inadequado dos equipamentos ou falhas técnicas. Inclui também a exposição prolongada a ruídos e vibrações que podem causar danos à saúde dos operadores.</w:t>
      </w:r>
    </w:p>
    <w:p w14:paraId="27439429" w14:textId="77777777" w:rsidR="00837796" w:rsidRDefault="00000000">
      <w:r>
        <w:t>Normas: Normas de segurança e saúde no trabalho, como NR-12 para máquinas e equipamentos, NR-15 para atividades e operações insalubres, e NR-17 para ergonomia, devem ser rigorosamente seguidas para mitigar os riscos identificados.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A identificação e gestão dos riscos ocupacionais são essenciais para garantir a segurança e saúde dos trabalhadores envolvidos, além de estar em conformidade com a legislação trabalhista brasileira, evitando penalidades legais e contribuindo para um ambiente de trabalho seguro.</w:t>
      </w:r>
    </w:p>
    <w:p w14:paraId="64A3D429" w14:textId="649969DB" w:rsidR="00837796" w:rsidRDefault="00DE2206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lastRenderedPageBreak/>
        <w:t>Opção</w:t>
      </w:r>
      <w:proofErr w:type="spellEnd"/>
      <w:r>
        <w:t xml:space="preserve"> A: Compra dos equipamentos através de financiamento. Essa alternativa foi considerada menos viável devido ao alto investimento inicial e custos permanentes com manutenção e armazenamento.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Contratação de serviços específicos sem a locação de equipamentos, o que exigiria maior tempo de resposta e menor flexibilidade operacional.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Após análise, a locação dos equipamentos foi considerada a alternativa mais eficiente e econômica, oferecendo flexibilidade e redução de custos operacionais e de manutenção, alinhada com as necessidades temporárias e variáveis da Secretaria.</w:t>
      </w:r>
    </w:p>
    <w:p w14:paraId="3B961330" w14:textId="3913BF83" w:rsidR="00837796" w:rsidRDefault="00DE2206">
      <w:r>
        <w:rPr>
          <w:b/>
          <w:sz w:val="24"/>
        </w:rPr>
        <w:t xml:space="preserve">6.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O risco de inércia, ou seja, a não realização da locação dos equipamentos, pode resultar em atrasos significativos nas obras e manutenções programadas, afetando diretamente a infraestrutura do município e a qualidade de vida dos cidadãos.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Para mitigar o risco de inércia, propõe-se a implementação de um plano de contingência que inclui a contratação emergencial de serviços e equipamentos, caso esta licitação não ocorra dentro do prazo esperado.</w:t>
      </w:r>
    </w:p>
    <w:p w14:paraId="454CDB78" w14:textId="5318C13E" w:rsidR="00837796" w:rsidRDefault="00DE2206">
      <w:r>
        <w:rPr>
          <w:b/>
          <w:sz w:val="24"/>
        </w:rPr>
        <w:t xml:space="preserve">7.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O prazo para execução do contrato será de 12 meses, com possibilidade de renovação conforme avaliação da necessidade e desempenho do fornecedor.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O pagamento será realizado mensalmente, baseado na entrega de relatórios de utilização e satisfação dos serviços prestados, com cláusulas de penalidade para não conformidades.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A vigência do contrato será de 12 meses, com revisões periódicas trimestrais para avaliação do desempenho e adequação dos serviços contratados.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As condições de pagamento serão estabelecidas com base na entrega dos serviços, sujeitas a retenções por não conformidade e bonificações por desempenho acima do esperado, buscando incentivar a qualidade e eficiência.</w:t>
      </w:r>
    </w:p>
    <w:p w14:paraId="2524178B" w14:textId="3DEEEF87" w:rsidR="00837796" w:rsidRDefault="00DE2206">
      <w:r>
        <w:rPr>
          <w:b/>
          <w:sz w:val="24"/>
        </w:rPr>
        <w:t xml:space="preserve">8.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Os Objetivos de Desenvolvimento Sustentável (ODS) vinculados incluem o ODS 9 - Indústria, Inovação e Infraestrutura, e ODS 11 - Cidades e Comunidades Sustentáveis, refletindo o compromisso do município com o desenvolvimento sustentável.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As ações sustentáveis incluem a escolha de equipamentos com baixo consumo de combustível e emissões reduzidas, além da adoção de práticas de manutenção que prolonguem a vida útil dos equipamentos, reduzindo a necessidade de novas locações e minimizando o impacto ambiental.</w:t>
      </w:r>
    </w:p>
    <w:p w14:paraId="753A1640" w14:textId="38348F65" w:rsidR="00837796" w:rsidRDefault="00DE2206">
      <w:r>
        <w:rPr>
          <w:b/>
          <w:sz w:val="24"/>
        </w:rPr>
        <w:t xml:space="preserve">9.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A verificação de duplicidade será realizada através de sistemas integrados de gestão de contratos, para assegurar que não existam contratos vigentes ou sobrepostos que atendam a mesma demanda.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A validação da demanda e do processo de licitação será realizada por uma equipe de auditoria interna, garantindo a conformidade com as leis e normativas aplicáveis e a justiça e transparência do processo licitatório.</w:t>
      </w:r>
    </w:p>
    <w:p w14:paraId="788895B8" w14:textId="38DEE4DC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Um resumo do processo de contratação será disponibilizado no Portal da Transparência, incluindo detalhes do contrato, critérios de seleção e justificativas para a escolha do fornecedor, garantindo a transparência e permitindo o acompanhamento público.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Será disponibilizado um FAQ no Portal da Transparência, respondendo às perguntas mais frequentes sobre o processo de contratação e o uso dos equipamentos, visando esclarecer dúvidas e aumentar a transparência pública.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O prazo para manutenção das informações no Portal da Transparência será de 5 anos após a conclusão do contrato, conforme determinado pela legislação de acesso à informação.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A assinatura do contrato será realizada eletronicamente, utilizando certificados digitais ICP-Brasil, garantindo a segurança jurídica e a autenticidade do documento.</w:t>
      </w:r>
    </w:p>
    <w:p w14:paraId="7154176E" w14:textId="77777777" w:rsidR="00837796" w:rsidRDefault="00837796"/>
    <w:p w14:paraId="4213D67D" w14:textId="77777777" w:rsidR="00837796" w:rsidRDefault="00000000">
      <w:proofErr w:type="spellStart"/>
      <w:r>
        <w:lastRenderedPageBreak/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1E4E6E57" w14:textId="6CC875BD" w:rsidR="005313D8" w:rsidRPr="005313D8" w:rsidRDefault="005313D8">
      <w:pPr>
        <w:rPr>
          <w:u w:val="single"/>
        </w:rPr>
      </w:pPr>
      <w:r w:rsidRPr="005313D8">
        <w:t xml:space="preserve">__________________________________________  </w:t>
      </w:r>
    </w:p>
    <w:p w14:paraId="0E18593F" w14:textId="77777777" w:rsidR="00837796" w:rsidRDefault="00000000">
      <w:r>
        <w:t>BURITIZAL, 06 de maio de 2025</w:t>
      </w:r>
    </w:p>
    <w:p w14:paraId="57248593" w14:textId="77777777" w:rsidR="00837796" w:rsidRDefault="00000000">
      <w:r>
        <w:t>Carlos de Oliveira</w:t>
      </w:r>
    </w:p>
    <w:p w14:paraId="2F254161" w14:textId="77777777" w:rsidR="00837796" w:rsidRDefault="00000000">
      <w:r>
        <w:t>Prefeito Municipal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76460" w14:textId="77777777" w:rsidR="006548B4" w:rsidRDefault="006548B4">
      <w:pPr>
        <w:spacing w:after="0" w:line="240" w:lineRule="auto"/>
      </w:pPr>
      <w:r>
        <w:separator/>
      </w:r>
    </w:p>
  </w:endnote>
  <w:endnote w:type="continuationSeparator" w:id="0">
    <w:p w14:paraId="010A7130" w14:textId="77777777" w:rsidR="006548B4" w:rsidRDefault="0065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Rua São Paulo, 131 – CEP: 14570-000 – Buritizal – 14570-000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887CF" w14:textId="77777777" w:rsidR="006548B4" w:rsidRDefault="006548B4">
      <w:pPr>
        <w:spacing w:after="0" w:line="240" w:lineRule="auto"/>
      </w:pPr>
      <w:r>
        <w:separator/>
      </w:r>
    </w:p>
  </w:footnote>
  <w:footnote w:type="continuationSeparator" w:id="0">
    <w:p w14:paraId="3CA0BC15" w14:textId="77777777" w:rsidR="006548B4" w:rsidRDefault="0065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60.344827586207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Buritizal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D4CB3"/>
    <w:rsid w:val="0015074B"/>
    <w:rsid w:val="0029639D"/>
    <w:rsid w:val="002A558A"/>
    <w:rsid w:val="00324EC3"/>
    <w:rsid w:val="00326F90"/>
    <w:rsid w:val="003A6930"/>
    <w:rsid w:val="00485523"/>
    <w:rsid w:val="004F3923"/>
    <w:rsid w:val="005313D8"/>
    <w:rsid w:val="005A7590"/>
    <w:rsid w:val="005C6535"/>
    <w:rsid w:val="006548B4"/>
    <w:rsid w:val="008215A6"/>
    <w:rsid w:val="00837796"/>
    <w:rsid w:val="009C5E7B"/>
    <w:rsid w:val="00A64869"/>
    <w:rsid w:val="00AA1D8D"/>
    <w:rsid w:val="00B47730"/>
    <w:rsid w:val="00B80A55"/>
    <w:rsid w:val="00CB0664"/>
    <w:rsid w:val="00DE2206"/>
    <w:rsid w:val="00E037A2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7</cp:revision>
  <dcterms:created xsi:type="dcterms:W3CDTF">2013-12-23T23:15:00Z</dcterms:created>
  <dcterms:modified xsi:type="dcterms:W3CDTF">2025-05-05T04:19:00Z</dcterms:modified>
  <cp:category/>
</cp:coreProperties>
</file>