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Municipal de Infraestrutura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Manutenção e Serviços Gerais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João Carlos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para execução de serviços técnicos de manutenção elétrica predial e de equipamentos públicos, utilizando o formato de Ata de Registro de Preços, com previsão de atendimento por hora/homem, abrangendo todas as instalações pertencentes ao Município de Aramina. Essa contratação incluirá, mas não se limitará a, reparos, instalações, ajustes e manutenções preventivas e corretivas.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municipal destinado à manutenção de infraestruturas e equipamentos públicos do exercício fiscal correspondente.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Unidade de Manutenção Elétrica de Aramina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necessidade de serviços de manutenção elétrica predial e em equipamentos públicos é uma demanda constante, que garante a operacionalidade e segurança das instalações municipais. Existe uma alta dependência dos serviços públicos que são suportados por essas infraestruturas, e a falha em manter um sistema adequado de manutenção pode resultar em interrupções significativas nos serviços públicos, afetando diretamente a população.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Essa contratação está alinhada com as metas municipais de fornecimento ininterrupto de serviços públicos e segurança das instalações públicas, conforme planejamento estratégico municipal de infraestrutura para o triênio em curso.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tanto a manutenção preventiva quanto corretiva dos sistemas elétricos de todas as instalações municipais. Incluirá revisões periódicas, atendimentos emergenciais, substituição de peças, correções de falhas e atualização de sistemas conforme necessário.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prestadores de serviço deverão cumprir todas as normas técnicas brasileiras aplicáveis à manutenção elétrica, como a NBR 5410 e NBR 14039, e devem também estar em conformidade com as regulamentações do Ministério do Trabalho, especialmente as normas regulamentadoras NR-10 e NR-35.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incluem, mas não se limitam a, choques elétricos, quedas de altura durante a manutenção de sistemas em edificações e exposição a elementos energizados.</w:t>
      </w:r>
    </w:p>
    <w:p w14:paraId="27439429" w14:textId="77777777" w:rsidR="00837796" w:rsidRDefault="00000000">
      <w:r>
        <w:t>Normas: Normas regulamentadoras como a NR-10, que trata da segurança em instalações e serviços em eletricidade, e a NR-35, que estabelece os requisitos mínimos e medidas de proteção para o trabalho em altura.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identificação e o gerenciamento dos riscos são fundamentais para garantir a segurança dos trabalhadores envolvidos e a integridade das instalações públicas. O cumprimento das normas reguladoras é essencial para minimizar riscos operacionais e de segurança.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Contratação de técnicos elétricos municipais para a execução das manutenções como uma expansão do quadro oficial dos funcionários da prefeitura.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Realização dos serviços por meio de contratos de manutenção específicos com pequenas empresas locais em um modelo de chamada direta conforme a necessidade.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utilização de uma Ata de Registro de Preços permite maior flexibilidade e capacidade de resposta rápida, além de potencialmente obter melhores custos por meio da economia de escala, comparado às alternativas que implicam maiores custos fixos ou menor capacidade de resposta emergencial.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inércia, ou seja, a não realização da contratação, pode levar a falhas críticas nos sistemas elétricos, afetando a segurança pública e a continuidade dos serviços essenciais oferecidos à comunidade.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A ação proposta para mitigar os riscos da inércia inclui uma revisão contínua das necessidades de manutenção e atualização do plano de manutenção preventiva e corretiva, com ajustes periódicos para alinhamento com as normas vigentes e melhores práticas do setor.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 a partir da data de assinatura do contrato, com possibilidade de renovação conforme avaliação de desempenho e necessidades.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mensal, baseado no registro de horas trabalhadas e serviços prestados, conforme apresentação de relatórios de serviço e aprovação pela fiscalização do contrato.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24 meses, com avaliações semestrais para garantir a eficácia e adequação do serviço prestado.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O pagamento será autorizado após apresentação e verificação de relatórios detalhados de execução e de comprovantes de serviços prestados, seguindo as normativas municipais sobre contratação e pagamento.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Os Objetivos de Desenvolvimento Sustentável (ODS) vinculados incluem o ODS 7 – Energia Acessível e Limpa, o ODS 9 – Indústria, Inovação e Infraestrutura e o ODS 11 – Cidades e Comunidades Sustentáveis.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Adoção de práticas de trabalho que minimizem o desperdício de materiais e a maximização da eficiência energética durante as manutenções são medidas sustentáveis que serão incentivadas.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Análise de registros existentes para evitar duplicidade na contratação de serviços já cobertos por outros contratos vigentes.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das propostas recebidas através de IA para verificar a conformidade com as especificações técnicas e orçamentárias estabelecidas.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contrato e da necessidade de manutenção será disponibilizado no portal da transparência do município, para que a população possa acompanhar e entender a importância e o escopo dos trabalhos contratados.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Publicação de um FAQ, detalhando questões frequentes sobre a natureza dos serviços, o processo de seleção da empresa e outros aspectos relevantes para a sociedade.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As informações sobre o contrato permanecerão disponíveis no portal da transparência pelo prazo de vigência do contrato e cinco anos após seu término, como determinado pela legislação local sobre transparência.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Digital, utilizando certificação ICP-Brasil, garantindo a integridade e a veracidade dos documentos assinados.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IGARAPAVA,</w:t>
      </w:r>
      <w:proofErr w:type="gramEnd"/>
      <w:r>
        <w:t xml:space="preserve"> 06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Dr Gabriel Vilela, 413 – Igarapava – 14540-000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3.636363636364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Igarapava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