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Secretaria de Administração Geral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Contratações e Aquisições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Diretor de Aquisições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serviços de fornecimento de lanches e coffee break para atender às necessidades dos projetos executados pelas Secretarias de Assistência Social, Saúde e outras, durante eventos e reuniões internas e externas, por um período de 12 meses.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R$ 000.000,00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Recursos do orçamento municipal previstos nas dotações orçamentárias das Secretarias envolvidas, conforme LDO e LOA para o exercício corrente, com previsões de expansões abarcadas pelo Plano Plurianual do Município conforme Lei Orçamentária Anual.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Coordenação de Eventos Institucionais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contratação de serviços de fornecimento de lanches e coffee break é fundamental para oferecer uma adequada hospitalidade nas atividades promovidas pelas Secretarias, refletindo positivamente na imagem institucional e garantindo o bem-estar dos participantes em eventos, workshops, reuniões e outras formas de encontro, alinhando-se aos preceitos de boas práticas administrativas e acolhimento. Tais eventos são essenciais para o diálogo com a população e stakeholders, fortalecendo os projetos sociais e de saúde.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Realizar 100 eventos por ano com a satisfação adequada dos participantes e dentro do orçamento previsto, mensurados por questionários de satisfação e relatórios de execução orçamentária.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fornecimento incluirá lanches variados, bebidas quentes e frias, atendendo a uma previsão de X participantes por evento, com requisições sendo feitas pontualmente conforme a agenda municipal de eventos. Serão considerados eventos de pequeno, médio e grande porte, com cardápios ajustáveis.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Os fornecedores deverão atender todas as normas da ANVISA para produtos alimentícios, garantindo a qualidade e a segurança no consumo, bem como a adaptação dos cardápios para dietas especializadas, como vegetariana, vegana e sem glúten. Deverão também estar capacitados para entregas pontuais em diversos pontos da cidade.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Os riscos associados incluem questões ligadas ao manuseio e conservação inadequados dos alimentos que podem causar danos à saúde dos participantes.</w:t>
      </w:r>
    </w:p>
    <w:p w14:paraId="27439429" w14:textId="77777777" w:rsidR="00837796" w:rsidRDefault="00000000">
      <w:r>
        <w:t>Normas: Normativas municipais de saúde e segurança alimentar, regulamentações da ANVISA.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O fornecedor deverá demonstrar pleno atendimento às normativas de segurança alimentar, com controle efetivo de riscos através de procedimentos estabelecidos e auditados periodicamente.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Realização de contratos menores com diversos fornecedores locais, aumentando a complexidade administrativa e possíveis variações na qualidade.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Contratação de uma única empresa com prestação de serviços centralizada, reduzindo custos operacionais e garantindo padrão de qualidade.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alternativa B é mais viável por promover uma gestão mais eficiente e controlada, minimizando riscos operacionais e garantindo uniformidade no serviço prestado.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A inércia em não contratar o serviço pode resultar em dificuldades na realização e no sucesso dos eventos, afetando negativamente a imagem institucional e a execução das políticas públicas.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Elaboração imediata de planilha de demanda e início do processo licitatório para contratação no prazo necessário, garantindo continuidade e eficiência dos eventos programados.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 meses, com possibilidade de renovação conforme cláusulas contratuais e desempenho satisfatório.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Pagamentos mensais, baseados nos serviços efetivamente prestados e conformidade verificada.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Vigência contratual de 12 meses a partir da assinatura do contrato, com revisão e possíveis ajustes ao final do período.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Depósito em conta corrente do fornecedor, após apresentação de fatura detalhada e verificação de conformidade dos serviços prestados.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Objetivo de Desenvolvimento Sustentável Nº 12 - Consumo e Produções Sustentáveis, garantindo-se a aquisição de produtos com menor impacto ambiental possível.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Priorização de produtos orgânicos e de fontes sustentáveis, bem como a redução de resíduos através de utensílios reutilizáveis ou biodegradáveis nos serviços de alimentação.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através do sistema integrado de contratações para evitar duplicidade nas demandas ou contratações similares em processos distintos.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Validação da demanda e do processo licitatório mediante auditorias internas e conformidade com as normativas legais e regulamentares.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do contrato, incluindo objeto, valor e justificativa, será publicado no portal da transparência do município para consulta e monitoramento público.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Seção de perguntas frequentes será disponibilizada no portal da transparência, esclarecendo pontos importantes do contrato e do processo de seleção.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Atualizações trimestrais sobre o andamento e a execução do contrato serão realizadas, mantendo o compromisso com a transparência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Assinatura digital, conforme regulamentação em vigor, garantindo agilidade e segurança jurídica na formalização do contrato.</w:t>
      </w:r>
    </w:p>
    <w:p w14:paraId="7154176E" w14:textId="77777777" w:rsidR="00837796" w:rsidRDefault="00837796"/>
    <w:p w14:paraId="4213D67D" w14:textId="77777777" w:rsidR="00837796" w:rsidRPr="000C6114" w:rsidRDefault="00000000">
      <w:pPr>
        <w:rPr>
          <w:b/>
          <w:bCs/>
        </w:rPr>
      </w:pPr>
      <w:proofErr w:type="spellStart"/>
      <w:r w:rsidRPr="000C6114">
        <w:rPr>
          <w:b/>
          <w:bCs/>
        </w:rPr>
        <w:lastRenderedPageBreak/>
        <w:t>Aprovo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este</w:t>
      </w:r>
      <w:proofErr w:type="spellEnd"/>
      <w:r w:rsidRPr="000C6114">
        <w:rPr>
          <w:b/>
          <w:bCs/>
        </w:rPr>
        <w:t xml:space="preserve"> </w:t>
      </w:r>
      <w:proofErr w:type="spellStart"/>
      <w:r w:rsidRPr="000C6114">
        <w:rPr>
          <w:b/>
          <w:bCs/>
        </w:rPr>
        <w:t>documento</w:t>
      </w:r>
      <w:proofErr w:type="spellEnd"/>
      <w:r w:rsidRPr="000C6114">
        <w:rPr>
          <w:b/>
          <w:bCs/>
        </w:rP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SãO SIMãO,</w:t>
      </w:r>
      <w:proofErr w:type="gramEnd"/>
      <w:r>
        <w:t xml:space="preserve"> 06 de maio de 2025</w:t>
      </w:r>
    </w:p>
    <w:p w14:paraId="57248593" w14:textId="77777777" w:rsidR="00837796" w:rsidRDefault="00000000">
      <w:r>
        <w:t>[nome protected]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C50DA" w14:textId="77777777" w:rsidR="00E94FE7" w:rsidRDefault="00E94FE7">
      <w:pPr>
        <w:spacing w:after="0" w:line="240" w:lineRule="auto"/>
      </w:pPr>
      <w:r>
        <w:separator/>
      </w:r>
    </w:p>
  </w:endnote>
  <w:endnote w:type="continuationSeparator" w:id="0">
    <w:p w14:paraId="6E149ACC" w14:textId="77777777" w:rsidR="00E94FE7" w:rsidRDefault="00E9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Rodolfo Miranda, 167 – São Simão – 14200-000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558C9" w14:textId="77777777" w:rsidR="00E94FE7" w:rsidRDefault="00E94FE7">
      <w:pPr>
        <w:spacing w:after="0" w:line="240" w:lineRule="auto"/>
      </w:pPr>
      <w:r>
        <w:separator/>
      </w:r>
    </w:p>
  </w:footnote>
  <w:footnote w:type="continuationSeparator" w:id="0">
    <w:p w14:paraId="626FA055" w14:textId="77777777" w:rsidR="00E94FE7" w:rsidRDefault="00E94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C6114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51845"/>
    <w:rsid w:val="009C5E7B"/>
    <w:rsid w:val="00A64869"/>
    <w:rsid w:val="00AA1D8D"/>
    <w:rsid w:val="00B47730"/>
    <w:rsid w:val="00B80A55"/>
    <w:rsid w:val="00CB0664"/>
    <w:rsid w:val="00DE2206"/>
    <w:rsid w:val="00E037A2"/>
    <w:rsid w:val="00E94FE7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8</cp:revision>
  <dcterms:created xsi:type="dcterms:W3CDTF">2013-12-23T23:15:00Z</dcterms:created>
  <dcterms:modified xsi:type="dcterms:W3CDTF">2025-05-06T20:16:00Z</dcterms:modified>
  <cp:category/>
</cp:coreProperties>
</file>