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Departamento de Infraestrutura Urbana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Gestão Ambiental e Urbanismo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Maria Lúcia de Carvalho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A presente demanda tem como objeto a contratação de empresa especializada na execução de serviços de poda, desbaste e arranquio de árvores de diversos portes, tendo em vista a manutenção e o cuidado necessário com o paisagismo urbano, além de prevenir riscos à segurança pública.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R$ 60.000,00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Recursos do orçamento municipal destinados à manutenção e desenvolvimento urbano do exercício fiscal corrente.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Secretaria Municipal de Infraestrutura e Planejamento Urbano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necessidade da contratação de serviços especializados em poda, desbaste e arranquio decorre da existência contínua de árvores que podem apresentar riscos de queda ou obstrução em vias públicas, acarretando potenciais acidentes e danos. A manutenção periodicamente planejada e adequadamente realizada contribui para a segurança e o bem-estar da população, além de preservar o meio ambiente urbano.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contratação contribuirá significativamente para a meta da administração pública de manter a cidade limpa, segura e ambientalmente correta, priorizando a segurança dos munícipes e a harmonização estética da vegetação urbana.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inclui a análise técnica das árvores a serem podadas, desbastadas ou arrancadas, remoção segura dos resíduos, e a realocação ou o plantio de novas árvores quando necessário.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A empresa contratada deverá apresentar equipe técnica qualificada, com experiência comprovada em serviços de arborização urbana, além de equipamentos adequados para a execução eficiente e segura dos serviços contratados.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trabalhos envolvem riscos como queda de altura, contato com fauna potencialmente perigosa e riscos associados ao uso de maquinário pesado.</w:t>
      </w:r>
    </w:p>
    <w:p w14:paraId="27439429" w14:textId="77777777" w:rsidR="00837796" w:rsidRDefault="00000000">
      <w:r>
        <w:t>Normas: A execução dos serviços deverá obedecer às Normas Regulamentadoras - NRs pertinentes, como NR10 (Segurança em Instalações e Serviços em Eletricidade) e NR35 (Trabalho em Altura), garantindo a segurança no ambiente de trabalho.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identificação e a gestão proativa dos riscos ocupacionais são essenciais para prevenir acidentes de trabalho e impactos adversos ao patrimônio público e à população.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Contratação de serviços similares através de microempresas ou empresas de pequeno porte locais, fomentando o desenvolvimento econômico regional.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Realização dos serviços por equipes internas do município, o que poderia reduzir custos diretos, porém exigiria capacitação e poderia desviar o foco de outras atividades essenciais.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contratação externa é mais viável e eficaz, considerando a complexidade e os riscos associados ao serviço, garantindo qualidade e segurança na realização.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A inércia face à demanda pode levar ao aumento dos riscos de acidentes, penalidades legais derivadas de negligência na manutenção urbana e aumento subsequente nos custos públicos.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O plano inclui estratégias para mitigar riscos através da monitorização constante das condições das árvores, e ação rápida e eficaz em caso de identificação de riscos iminentes.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Os serviços deverão ser concluídos em um prazo de 180 dias a partir da assinatura do contrato.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será realizado mensalmente, conforme a entrega dos serviços, com base em relatórios de execução e aprovação das atividades.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O contrato terá vigência de 12 meses, com possibilidade de renovação conforme necessidade e disponibilidade orçamentária.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Conforme edital de licitação, os pagamentos serão feitos após apresentação e validação de nota fiscal, respeitando as condições contratuais e legais pertinentes.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Este contrato está alinhado com o Objetivo de Desenvolvimento Sustentável (ODS) n° 11 - Cidades e Comunidades Sustentáveis.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Promoção da biodiversidade urbana através de replantio e cuidados continuados com a flora local, contribuindo para o equilíbrio ecológico e a qualidade de vida na cidade.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Foi realizada análise interna para verificar a existência de contratos vigentes com objetos similares, não sendo identificada nenhuma duplicidade.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da demanda foi realizada através de análises comparativas de preços e necessidades atuais, garantindo a proposição de uma solução custo-efetiva para o município.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Este documento e o processo licitatório associado estarão disponíveis para consulta pública, garantindo a transparência e permitindo o escrutínio público das decisões tomadas.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Será disponibilizada uma seção de perguntas frequentes no portal da transparência, explicando detalhadamente os elementos do contrato e respondendo às dúvidas mais comuns da população.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As informações estarão disponíveis no portal da transparência do município por todo o período de vigência do contrato.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assinatura do contrato será realizada em formato digital, seguindo as normas e diretrizes do processo eletrônico estabelecidas na legislação vigente.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</w:t>
      </w:r>
      <w:proofErr w:type="gramEnd"/>
      <w:r>
        <w:t xml:space="preserve"> 07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