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de Serviços Urbanos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Manutenção de Áreas Urbanas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João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para a prestação de serviços integrados de manutenção e conservação de áreas verdes e infraestrutura urbana, incluindo varrição manual de áreas públicas, capinação e roçagem para controle de vegetação, poda e manutenção de árvores, manutenção de praças e jardins, limpeza de bocas de lobo, coleta porta a porta de resíduos sólidos urbanos e demais serviços correlatos como limpeza pós-eventos e pequenos reparos na sinalização urbana e infraestrutura.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anual da secretaria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Município XYZ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demanda por manutenção e conservação de áreas verdes e infraestrutura urbana tem aumentado devido ao crescimento urbano e à necessidade de preservação ambiental e bem-estar da população. A prestação destes serviços é essencial para garantir a qualidade de vida urbana, a higiene pública e a segurança, prevenindo a incidência de doenças e contribuindo para uma cidade mais limpa e organizada.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Essa contratação irá diretamente impactar as metas de sustentabilidade e qualidade de vida urbana estabelecidas pelo plano diretor municipal, contribuindo para a eficácia na gestão ambiental e urbana da cidade.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execução contínua e programada de serviços de varrição, capinação, poda de árvores, manutenção de praças e jardins, limpeza de bocas de lobo e coleta de resíduos sólidos, cobrindo todas as zonas urbanas do município.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prestadores de serviços devem possuir equipamentos adequados para cada tipo de intervenção, equipes de trabalho treinadas e certificadas, e devem seguir todas as normas técnicas e de segurança pertinentes, inclusive aquelas relacionadas à gestão ambiental e descarte de resíduos.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serviços envolvem riscos como: exposição a agentes biológicos, uso de ferramentas cortantes, trabalho em vias públicas com risco de acidentes. Deve-se seguir rigorosamente as normas de segurança do trabalho.</w:t>
      </w:r>
    </w:p>
    <w:p w14:paraId="27439429" w14:textId="77777777" w:rsidR="00837796" w:rsidRDefault="00000000">
      <w:r>
        <w:t>Normas: Os riscos estão associados às NRs - Normas Regulamentadoras de segurança e saúde no trabalho, especialmente a NR-6 quanto ao equipamento de proteção individual, NR-15 sobre atividades e operações insalubres e NR-17 sobre ergonomia.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identificação e mitigação dos riscos ocupacionais são fundamentais para garantir a segurança e saúde dos trabalhadores, minimizando possíveis compensações ou ações trabalhistas, além de garantir a continuidade do serviço sem interrupções.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Realizar os serviços com equipes e equipamentos próprios do município. Esta alternativa requer investimentos em equipamentos, treinamentos e contratação de pessoal.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serviços através de um consórcio de municípios, compartilhando recursos e dividindo custos operacionais.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de empresa especializada é mais viável economicamente e eficiente operacionalmente do que as alternativas de gestão interna ou consórcio, dada a necessidade de especialização e a economia de escala proporcionadas pela terceirização.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A falta de ação pode resultar em degradação urbana e ambiental, aumento dos riscos à saúde pública e insatisfação da comunidade.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a secretaria deve instituir um plano de monitoramento e fiscalização intensiva até que o contrato seja completamente efetivado.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para execução deste contrato é de 24 meses, com possibilidade de renovação conforme avaliação dos resultados obtidos.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mensal conforme a entrega de relatórios de atividades e verificação do cumprimento dos indicadores de desempenho estabelecidos.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O contrato terá vigência de 24 meses, com avaliações semestrais do desempenho e possibilidade de ajustes ou rescisão com base no cumprimento dos objetivos.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incluirão cláusulas de penalidade por atraso ou não execução dos serviços conforme os padrões especificados, e incentivos para desempenho superior ao contratado.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11 - Cidades e Comunidades Sustentáveis, ODS 6 - Água Limpa e Saneamento.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Adoção de práticas de baixo impacto ambiental, uso de ferramentas eletrônicas para redução da emissão de poluentes e programas de reciclagem de resíduos.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O sistema de informação automatizado verificará a existência de contratos similares em vigência para evitar duplicidade.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do cumprimento do contrato será realizada através de softwares de gestão contratual, que acompanharão os indicadores de performance em tempo real.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contrato, objetivos e expectativas será publicado no portal da transparência municipal para conhecimento e acompanhamento público.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Será desenvolvido um FAQ, disponibilizado no portal da transparência municipal, para esclarecer dúvidas frequentes da população relativas à execução dos serviços.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O prazo para disponibilização de informações no portal da transparência será de até cinco dias úteis após cada etapa concluída do processo.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contratação será formalizada mediante assinaturas digitais das partes envolvidas, validadas através de certificados ICP-Brasil.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ARAMINA,</w:t>
      </w:r>
      <w:proofErr w:type="gramEnd"/>
      <w:r>
        <w:t xml:space="preserve"> 07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R. Dr. Bráulio de Andrade Junqueira, 795 - Centro – Aramina –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