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Municipal de Saúde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Logística e Suprimentos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Coordenador de Aquisições e Contratos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Registro de preços para a aquisição de materiais e equipamentos de fisioterapia necessários para atendimento das demandas das unidades de saúde do município, garantindo a continuidade dos serviços oferecidos à população. A lista de aquisições inclui itens como cadeiras de rodas, mesas de tratamento, ultrassons terapêuticos, entre outros equipamentos especializados.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R$ 1.500.000,00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do orçamento municipal destinados à saúde, conforme Lei Orçamentária Anual (LOA) e previsões do Plano Plurianual (PPA).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Unidades de Saúde do Município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aquisição de materiais e equipamentos de fisioterapia se faz necessária para garantir a oferta de tratamentos adequados aos pacientes que dependem do atendimento público de saúde, aliviando dores, promovendo recuperação física e melhorando a qualidade de vida dos cidadãos. É essencial que esses serviços não sejam interrompidos, pois oferecem suporte crucial para a recuperação de pacientes com diversificadas condições.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Esta aquisição está alinhada com a meta do município de aumentar a oferta de tratamentos de reabilitação e melhorar o atendimento ao cidadão nas unidades de saúde, impactando diretamente na capacidade de resposta do sistema de saúde municipal.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aquisição programada ao longo de 12 meses de diversos itens essenciais para a realização de procedimentos de fisioterapia nas unidades de saúde municipais, promovendo assim um tratamento adequado e eficiente.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Todos os materiais e equipamentos deverão estar em conformidade com as normativas da ANVISA e possuir certificações que assegurem a sua eficácia e segurança. A prova de qualidade e garantia será exigida de todos os fornecedores.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 manuseio inadequado de equipamentos de fisioterapia pode ocasionar lesões. Portanto, é necessário que todos os equipamentos adquiridos possuam mecanismos de segurança e ergonomia aprovados.</w:t>
      </w:r>
    </w:p>
    <w:p w14:paraId="27439429" w14:textId="77777777" w:rsidR="00837796" w:rsidRDefault="00000000">
      <w:r>
        <w:t>Normas: Deverão ser observadas todas as normativas de segurança e operação estabelecidas pela ABNT, ANVISA e outras entidades pertinentes ao uso de equipamentos de fisioterapia em ambiente hospitalar e clínico.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a atenção aos riscos mencionados baseia-se na necessidade de proteger os profissionais de saúde e pacientes de possíveis acidentes e garantir que o tratamento fisioterápico possa ser realizado sem intercorrências.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Como alternativa à aquisição, poderia ser considerada a locação de equipamentos. No entanto, devido ao uso contínuo e às especificidades do atendimento de saúde, tal opção se mostrou economicamente inviável a longo prazo.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Outra alternativa seria a realização de convênios com instituições privadas para utilização de seus equipamentos. Porém, isso poderia comprometer a autonomia do serviço público e gerar custos adicionais com transportes e logística.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Após análise, a aquisição direta por registro de preços é a alternativa mais viável e econômica, garantindo controle sobre os recursos e manutenção adequada.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A inércia em não realizar a aquisição poderia resultar em descontinuidade dos serviços de fisioterapia, afetando diretamente a recuperação de pacientes e sobrecarregando outras áreas da saúde.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recomenda-se estabelecer um cronograma estrito de aquisição e monitoramento contínuo do estoque de equipamentos nas unidades de saúde.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total para execução do registro de preços e a entrega dos equipamentos não deverá exceder 60 dias após a homologação da ata de registro.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conforme entrega dos itens, mediante apresentação de nota fiscal e confirmação de recebimento e conformidade dos equipamentos.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A vigência do registro de preços será de 12 meses, podendo ser prorrogada por iguais e sucessivos períodos conforme a legislação vigente.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O pagamento será efetuado em até 30 dias após a entrega dos materiais ou equipamentos, com verificação de conformidade técnica e funcional realizada pelos técnicos da Secretaria de Saúde.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Este projeto está alinhado com o Objetivo de Desenvolvimento Sustentável 3 da ONU – 'Assegurar uma vida saudável e promover o bem-estar para todos, em todas as idades'.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–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A verificação de duplicidade será efetuada através do sistema integrado de gestão municipal, assegurando que não haja aquisições similares em curso.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do processo de aquisição será realizada através de auditorias regulares e acompanhamento por parte do Tribunal de Contas do Estado.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documento e todas as ações dele decorrentes estarão disponíveis para consulta pública no portal da transparência do município, garantindo o acesso à informação pelos cidadãos.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desenvolvido um FAQ, disponível no portal da transparência, para esclarecer as principais dúvidas relacionadas ao processo de aquisição e aos equipamentos de fisioterapia.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As informações relativas à aquisição serão mantidas disponíveis no portal da transparência por um período de 5 anos após a conclusão do contrato.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O documento será assinado eletronicamente pelo responsável pela demanda e pelo secretário de saúde, utilizando certificação digital válida perante a ICP-Brasil.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</w:t>
      </w:r>
      <w:proofErr w:type="gramEnd"/>
      <w:r>
        <w:t xml:space="preserve"> 09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