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Diretoria de Infraestrutura e Obras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Manutenção e Serviços Gerais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José Antônio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Contratação, via Ata de Registro de Preços, de empresa especializada para a prestação de serviços técnicos de manutenção elétrica predial e de equipamentos públicos, com execução baseada em medicação de horas trabalhadas (hora/homem).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do orçamento municipal destinados à manutenção e conservação de edificações e bens públicos.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X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demanda por manutenção elétrica predial e de equipamentos públicos é recorrente e essencial para a segurança das instalações municipais e funcionamento adequado dos serviços públicos. A contratação por Registro de Preços permite agilidade e flexibilidade na convocação dos serviços, conforme necessidade, garantindo continuidade e eficiência das operações públicas.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contratação contribuirá significativamente para a manutenção da infraestrutura elétrica adequada nas edificações e equipamentos públicos, assegurando que todos os ambientes municipais estejam em conformidade com as normas técnicas vigentes, além de garantir a segurança dos usuários e servidores.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inclui inspeção, manutenção preventiva e corretiva de instalações elétricas em edifícios públicos, incluindo substituição de componentes danificados, testes de funcionalidade, adequação às normativas técnicas, e elaboração de relatórios técnicos correspondentes.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As empresas participantes devem possuir técnicos com certificação pelo CREA ou órgão equivalente, experiência comprovada em manutenção predial elétrica e devem estar em dia com suas obrigações fiscais e trabalhistas.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incluem choques elétricos, queda de altura durante a realização dos serviços e outros riscos associados ao trabalho com eletricidade em ambientes possivelmente danificados.</w:t>
      </w:r>
    </w:p>
    <w:p w14:paraId="27439429" w14:textId="77777777" w:rsidR="00837796" w:rsidRDefault="00000000">
      <w:r>
        <w:t>Normas: NR-10 (Segurança em Instalações e Serviços em Eletricidade) e NR-35 (Trabalho em Altura) são normas regulamentadoras que devem ser rigorosamente seguidas para minimização de riscos aos trabalhadores.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identificação e mitigação dos riscos ocupacionais são essenciais para proteger a saúde dos trabalhadores envolvidos na execução dos serviços, sendo mandatório o cumprimento das normas regulamentadoras aplicáveis.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Contratação de serviços por meio de contratos individuais para cada intervenção.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Execução dos serviços por equipes próprias da prefeitura.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formação de Ata de Registro de Preços é mais eficiente em termos de custo e flexibilidade operacional do que as alternativas consideradas, permitindo resposta rápida a demandas urgentes.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A falta de manutenção adequada pode resultar em falhas de equipamentos, riscos à segurança e interrupção de serviços públicos essenciais.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Planos de ação incluem a programação regular de manutenções e revisões emergenciais para garantir a operacionalidade contínua dos sistemas elétricos.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para execução dos serviços será estabelecido em cada ordem de serviço emitida, dependendo da complexidade e urgência da intervenção requerida.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após a execução dos serviços, mediante apresentação de relatório técnico detalhado e aprovação do responsável pelo departamento.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12 meses, com possibilidade de renovação por iguais e sucessivos períodos até o limite legal.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30 dias após a entrega e aceitação dos serviços, mediante emissão de nota fiscal.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9 (Indústria, Inovação e Infraestrutura) e ODS 11 (Cidades e Comunidades Sustentáveis).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Promoverá a utilização de técnicas e componentes que maximizem a eficiência energética e reduzam o desperdício de recursos.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Não há registros de iniciativas similares em vigência, conforme verificação no sistema de contratos.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pela equipe jurídica e pelo setor de contratações públicas para conformidade com a legislação vigente.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Detalhamento do objeto, critérios de escolha, potenciais custos e benefícios serão publicizados no Portal da Transparência para conhecimento e acompanhamento pela população.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A seção de FAQ incluirá explicações sobre a seleção do prestador de serviços, métodos de fiscalização dos trabalhos e formas de denúncia de possíveis irregularidades.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Prazo para publicação de informações atualizadas é de até 24 horas após cada fase do processo de seleção e contratação.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Documento será assinado digitalmente pelo responsável do setor de infraestrutura e pela autoridade máxima do órgão licitante.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ARAMINA,</w:t>
      </w:r>
      <w:proofErr w:type="gramEnd"/>
      <w:r>
        <w:t xml:space="preserve"> 09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R. Dr. Bráulio de Andrade Junqueira, 795 - Centro – Aramina –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