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Contratação de serviço especializado em poda de árvores em áreas urbanas e parques municipais, englobando o corte, manejo e a destinação final dos resíduos gerados. O objetivo é garantir a segurança da população, preservar o paisagismo e manter a saúde das árvores.</w:t>
      </w:r>
    </w:p>
    <w:p w14:paraId="3E27757C" w14:textId="77777777" w:rsidR="00627B5C" w:rsidRDefault="00000000">
      <w:r>
        <w:t>Justificativa da necessidade: A necessidade de contratar serviços de poda de árvores advém da responsabilidade do poder público em garantir a segurança dos cidadãos, reduzindo riscos associados à queda de árvores e de galhos, que podem causar acidentes ou danificar a infraestrutura urbana. A manutenção periódica das árvores também é uma medida essencial para a preservação do meio ambiente e para a sustentabilidade urbana, conforme orientações do Plano Diretor Urbano e das legislações ambientais vigentes.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O objeto já está incluído no Plano de Contratações Anual, seguindo as diretrizes e metas de médio prazo do município.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Os serviços contratados deverão incluir: corte de galhos, remoção de árvores mortas ou doentes, tratamento fitossanitário adequado, e a destinação ecologicamente correta dos resíduos. Deverá também ser considerada a necessidade de interdição das áreas durante a execução dos serviços para garantir a segurança da população.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O serviço deve ser compatível com diversas espécies de árvores urbanas, requerendo conhecimento específico sobre as particularidades de cada tipo. A empresa contratada deverá ter equipamentos adequados para diferentes alturas e densidades de copa.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A experiência com o setor público será um requisito para a seleção, considerando a especificidade e a responsabilidade envolvendo a manutenção de áreas verdes urbanas. Será exigida comprovação de capacidade técnica através de portfólio de serviços similares prestados a outros entes públicos.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12 meses, com revisões periódicas e possibilidade de renovação do contrato, conforme avaliação dos serviços prestados e conforme as necessidades futuras identificadas.</w:t>
      </w:r>
    </w:p>
    <w:p w14:paraId="7B28C93E" w14:textId="77777777" w:rsidR="00627B5C" w:rsidRDefault="00000000">
      <w:r>
        <w:t>- Forma de Pagamento: O pagamento será realizado mensalmente, baseado na apresentação de relatórios de execução e conformidade dos serviços prestados, com emissão de nota fiscal eletrônica e sujeito à verificação de qualidade pelos órgãos competentes.</w:t>
      </w:r>
    </w:p>
    <w:p w14:paraId="66BD3DAA" w14:textId="77777777" w:rsidR="00627B5C" w:rsidRDefault="00000000">
      <w:r>
        <w:t>- Critérios de Seleção: Será adotado como critério a técnica e preço, priorizando-se as propostas que ofereçam melhor técnica, garantia de execução e menor preço, visando maximizar o valor público e atender ao princípio da eficiência.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Cerca de 2.000 árvores serão podadas durante o período de contrato, distribuídas pelos principais parques municipais e áreas urbanas, com prioridade para locais de grande circulação e onde haja registro de incidentes prévios.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Contratação de equipe própria para execução dos serviços de poda, envolvendo aquisição de equipamentos e treinamento de pessoal. Esta alternativa aumentaria a dependência de recursos humanos e materiais permanentes.</w:t>
      </w:r>
    </w:p>
    <w:p w14:paraId="50940E7C" w14:textId="77777777" w:rsidR="00627B5C" w:rsidRDefault="00000000">
      <w:r>
        <w:t>Alternativa B: Subcontratação através de pequenos contratos com empresas locais por região, potencializando a economia local mas possivelmente reduzindo o controle sobre os padrões de qualidade e segurança.</w:t>
      </w:r>
    </w:p>
    <w:p w14:paraId="5AFC91FF" w14:textId="77777777" w:rsidR="00627B5C" w:rsidRDefault="00000000">
      <w:r>
        <w:t>Alternativa C: Estabelecimento de parceria com instituições educacionais para práticas de campo em cursos relacionados, o que envolveria um componente educacional, mas poderia comprometer a regularidade e a qualidade técnica dos serviços.</w:t>
      </w:r>
    </w:p>
    <w:p w14:paraId="2679D382" w14:textId="77777777" w:rsidR="00627B5C" w:rsidRDefault="00000000">
      <w:r>
        <w:t>Análise comparativa: A análise comparativa indica que a contratação centralizada através de licitação para serviços especializados é mais vantajosa, considerando a complexidade e a necessidade de um alto padrão técnico e de segurança. As outras alternativas, apesar de apresentarem benefícios pontuais, não atendem completamente aos critérios de eficiência, eficácia e segurança necessários.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O valor estimado para a execução dos serviços é de R$ 500,000.00, calcado na média dos preços praticados no mercado para serviços similares, ajustado pelas especificidades e escopo dos serviços requeridos pela administração.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A solução proposta envolve a contratação de um único prestador de serviços mediante licitação, que cobrirá todas as necessidades de poda e manejo de árvores em áreas públicas do município, com revisões periódicas e adaptável às demandas emergenciais.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A contratação será efetuada para o período de um ano, podendo ser renovada conforme desempenho e orçamento disponível, alinhado às diretrizes de continuidade e sustentabilidade dos serviços públicos.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Espera-se como resultado a melhoria significativa na segurança pública, na conservação do paisagismo urbano e na saúde das árvores municipais, atendendo aos objetivos de sustentabilidade e bem-estar da população local.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Serão necessárias consultas ao órgão ambiental para a obtenção de licenças necessárias, assim como o mapeamento das áreas prioritárias e a mobilização de recursos humanos e materiais para fiscalização.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Pode ser necessária a contratação complementar de serviços de arborização e plantio, dependendo dos resultados da avaliação técnica das condições atuais das árvores podadas.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A execução adequada dos serviços de poda contribui positivamente para o meio ambiente, pela manutenção da flora local e a prevenção de acidentes. Resíduos gerados serão recolhidos e destinados de forma apropriada, minimizando impactos negativos.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viabilidade da contratação é alta, dada a necessidade urgente de manutenção das áreas verdes e a disponibilidade de recursos orçamentários previstos. A contratação está alinhada com as políticas públicas de urbanismo e meio ambiente.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–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–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–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–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SãO SIMãO,</w:t>
      </w:r>
      <w:proofErr w:type="gramEnd"/>
      <w:r>
        <w:t xml:space="preserve"> 07 de maio de 2025</w:t>
      </w:r>
    </w:p>
    <w:p w14:paraId="294E07CB" w14:textId="77777777" w:rsidR="00627B5C" w:rsidRDefault="00000000">
      <w:r>
        <w:t>[nome protected]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24327" w14:textId="77777777" w:rsidR="00401FEA" w:rsidRDefault="00401FEA">
      <w:pPr>
        <w:spacing w:after="0" w:line="240" w:lineRule="auto"/>
      </w:pPr>
      <w:r>
        <w:separator/>
      </w:r>
    </w:p>
  </w:endnote>
  <w:endnote w:type="continuationSeparator" w:id="0">
    <w:p w14:paraId="010670DA" w14:textId="77777777" w:rsidR="00401FEA" w:rsidRDefault="0040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902E4" w14:textId="77777777" w:rsidR="00401FEA" w:rsidRDefault="00401FEA">
      <w:pPr>
        <w:spacing w:after="0" w:line="240" w:lineRule="auto"/>
      </w:pPr>
      <w:r>
        <w:separator/>
      </w:r>
    </w:p>
  </w:footnote>
  <w:footnote w:type="continuationSeparator" w:id="0">
    <w:p w14:paraId="7CFC3CA6" w14:textId="77777777" w:rsidR="00401FEA" w:rsidRDefault="0040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98C"/>
    <w:rsid w:val="0015074B"/>
    <w:rsid w:val="002209ED"/>
    <w:rsid w:val="0029639D"/>
    <w:rsid w:val="00326F90"/>
    <w:rsid w:val="00401FEA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2025-05-06T19:25:00Z</dcterms:modified>
  <cp:category/>
</cp:coreProperties>
</file>