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Este Estudo Técnico Preliminar destina-se a embasar a abertura de processo de Registro de Preços para a aquisição de materiais e equipamentos de fisioterapia necessários à rede pública de saúde, visando garantir o adequado tratamento rehabilitativo aos usuários do sistema de saúde, durante o período de doze meses, assegurando a disponibilidade e a qualidade dos recursos terapêuticos essenciais.</w:t>
      </w:r>
    </w:p>
    <w:p w14:paraId="3E27757C" w14:textId="77777777" w:rsidR="00627B5C" w:rsidRDefault="00000000">
      <w:r>
        <w:t>Justificativa da necessidade: A escolha do objeto da contratação baseia-se no princípio da eficiência e economicidade, pois a aquisição centralizada através de Registro de Preços permite melhores preços e condições, além de garantir a disponibilidade contínua dos materiais para todas as unidades de saúde, evitando a interrupção de serviços essenciais de fisioterapia, conforme alinhado aos objetivos de políticas públicas de saúde previstos na legislação federal.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O objeto já consta no Plano de Contratações Anual (PCA), refletindo o planejamento estratégico e a necessidade contínua de fornecimento de materiais e equipamentos para tratamentos de fisioterapia nas unidades de saúde.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Os materiais e equipamentos de fisioterapia devem atender às especificações técnicas da Associação Brasileira de Normas Técnicas (ABNT) e legislação sanitária vigente. Deverão ser compatíveis com os usos previstos nos tratamentos de fisioterapia, com especificação clara de capacidade, resistência, segurança e facilidade de uso.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Os equipamentos adquiridos devem ser compatíveis com os já existentes nos centros de fisioterapia das unidades de saúde municipais e estaduais, possuir interfaces de fácil operação e manutenção, além de suporte técnico local garantido pelo fornecedor.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Considera-se essencial que os fornecedores tenham experiência comprovada na entrega de materiais e equipamentos para o setor público, preferencialmente em áreas da saúde, possuindo referências de contratos anteriores que evidenciem sua capacidade de atender demandas governamentais e cumprir com as especificações e prazos.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estimado para a execução integral do contrato é de 12 meses a partir da assinatura do contrato, com possibilidade de renovação conforme a legislação vigente e mediante a demonstração de desempenho satisfatório do fornecedor e a contínua necessidade dos itens.</w:t>
      </w:r>
    </w:p>
    <w:p w14:paraId="7B28C93E" w14:textId="77777777" w:rsidR="00627B5C" w:rsidRDefault="00000000">
      <w:r>
        <w:t>- Forma de Pagamento: O pagamento será realizado de forma parcelada, mediante a entrega e aceitação dos materiais e equipamentos, com prazos de até 30 dias após a emissão das notas fiscais, conforme regulamentado pelo edital e condizente com as práticas de transações do setor público.</w:t>
      </w:r>
    </w:p>
    <w:p w14:paraId="66BD3DAA" w14:textId="77777777" w:rsidR="00627B5C" w:rsidRDefault="00000000">
      <w:r>
        <w:t>- Critérios de Seleção: A seleção será realizada por meio de critérios de menor preço, técnica e preço, com pesos definidos no edital. Os fornecedores deverão demonstrar técnica através de atestados de capacidade técnica, qualidade dos materiais, garantias oferecidas e atendimento ao suporte técnico.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Estima-se a aquisição de aproximadamente 200 unidades de diversos equipamentos de fisioterapia e 3000 itens de materiais consumíveis, baseado no histórico de consumo das unidades de saúde e projeção de crescimento da demanda pelos serviços de fisioterapia.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Realização de compra direta para atendimento emergencial de demandas específicas que não possam ser atendidas pelo Registro de Preços devido a urgências médicas, garantindo assim, o tratamento adequado e tempestivo.</w:t>
      </w:r>
    </w:p>
    <w:p w14:paraId="50940E7C" w14:textId="77777777" w:rsidR="00627B5C" w:rsidRDefault="00000000">
      <w:r>
        <w:t>Alternativa B: Contratação de serviços integrados que incluem além do fornecimento dos materiais e equipamentos, a manutenção preventiva e corretiva, capacitando os técnicos das unidades de saúde para que haja manutenção básica e prolongamento da vida útil dos equipamentos.</w:t>
      </w:r>
    </w:p>
    <w:p w14:paraId="5AFC91FF" w14:textId="77777777" w:rsidR="00627B5C" w:rsidRDefault="00000000">
      <w:r>
        <w:t>Alternativa C: Estabelecimento de um acordo de nível de serviço (SLA) com penalidades claras para casos de atraso na entrega ou fornecimento inadequado dos materiais, visando assegurar maior conformidade e presteza no fornecimento.</w:t>
      </w:r>
    </w:p>
    <w:p w14:paraId="2679D382" w14:textId="77777777" w:rsidR="00627B5C" w:rsidRDefault="00000000">
      <w:r>
        <w:t>Análise comparativa: As alternativas serão comparadas principalmente sob os critérios de impacto na qualidade do serviço prestado ao cidadão, custo-benefício a longo prazo e capacidade de resposta às necessidades emergenciais. A alternativa B pode proporcionar maior autonomia e redução de custos futuros.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será baseada em pesquisa de mercado, utilizando preços referenciais obtidos junto a contratos similares de outras entidades federativas e valores de mercado fornecidos por órgãos oficiais ou sistemas de pesquisa públicos, como o Banco de Preços em Saúde (BPS).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A solução total proposta visa atender as necessidades de aquisição de materiais e equipamentos de fisioterapia de modo eficiente e econômico, pela contratação através de Registro de Preços, promovendo assim melhor aproveitamento de recursos e padronização de tratamentos de fisioterapia nas unidades de saúde.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O parcelamento é viável e recomendado para esta modalidade de aquisição, permitindo a programação financeira do município e mitigação de grandes desembolsos imediatos, o que harmoniza com a dinâmica de uso e demanda dos equipamentos e materiais, podendo os pagamentos serem efetuados conforme a entrega e aceitação dos itens.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a disponibilidade contínua de materiais e equipamentos necessários para o adequado tratamento fisioterapêutico, garantindo melhor qualidade de vida aos usuários, reduzindo tempos de espera e aumentando a capacidade de atendimento das unidades de saúde.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Antes da contratação, será necessário atualizar os registros de inventário dos equipamentos da rede de saúde, realizar reuniões com gestores das unidades para ajustar as quantidades e tipos de equipamentos e materiais necessários e realizar um amplo estudo de mercado.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Deverão ser consideradas as contratações correlatas de outros itens e serviços necessários para a operação dos equipamentos, como instalações e reformas nas unidades de saúde para acomodação dos novos equipamentos, o que poderá exigir licitações complementares ou aditamentos em contratos vigentes.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Todo material adquirido deverá cumprir com as normativas ambientais vigentes, preferencialmente apresentando certificações de sustentabilidade. Os equipamentos antigos devem ser descartados de forma ecologicamente correta, evitando-se impactos negativos ao meio ambiente.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viabilidade da contratação é alta, dada a urgente necessidade de atualização e manutenção do parque de equipamentos de fisioterapia das unidades de saúde e a previsão de disponibilidade orçamentária. Além disso, a modalidade de Registro de Preços permite flexibilidade e economia na aquisição dos itens.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Será exigido que todos os dados gerados pelos equipamentos de fisioterapia atendam às normativas da Lei Geral de Proteção de Dados (LGPD), garantindo a segurança e a privacidade das informações dos pacientes, com medidas de segurança aplicadas e revisadas periodicamente.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Os riscos técnicos implicados incluem a possibilidade de fornecimento de equipamentos ou materiais que não atendam às especificações técnicas ou sanitárias, falhas de fornecedores em sustentar o suporte técnico adequado, ou atrasos nas entregas.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Para mitigar os riscos identificados, propõe-se estabelecer no edital garantias robustas, a exigência de atestados de qualidade, e a realização de inspeções e testes antes da aceitação dos bens. Além disso, a adoção de multas e penalidades em caso de descumprimento também será efetivada.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Os benefícios qualitativos almejados com esta contratação incluem a melhoria direta no atendimento ao cidadão, que terá acesso a tratamentos de fisioterapia com equipamentos modernos e eficientes, aumento na transparência das ações de saúde e automação de processos, resultando em maior eficiência administrativa e redução de custos operacionais.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09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