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Desenvolvimento e implementação de um sistema integrado de gestão municipal, que abrange módulos de gestão financeira, tributária, de recursos humanos e serviços ao cidadão, com interfaces amigáveis e acessíveis, incluindo a integração com sistemas já existentes e conformidade com padrões de segurança da informação e proteção de dados.</w:t>
      </w:r>
    </w:p>
    <w:p w14:paraId="3E27757C" w14:textId="77777777" w:rsidR="00627B5C" w:rsidRDefault="00000000">
      <w:r>
        <w:t>Justificativa da necessidade: A implementação de um sistema integrado de gestão municipal é fundamental para aumentar a eficiência administrativa e melhorar a oferta de serviços públicos. Tal projeto está alinhado ao princípio da eficiência e é respaldado pela Lei nº 14.133/2021, a qual estabelece as normas gerais de licitação e contratação pública aplicáveis à Administração Pública. Este sistema permitirá a modernização da gestão municipal, propiciando uma resposta mais rápida às necessidades dos cidadãos e otimização dos recursos públicos.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${etp_previsao_pca}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${etp_requisitos_funcionais}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${etp_requisitos_compatibilidade}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24 meses a partir da data de assinatura do contrato, com revisões semestrais do progresso.</w:t>
      </w:r>
    </w:p>
    <w:p w14:paraId="7B28C93E" w14:textId="77777777" w:rsidR="00627B5C" w:rsidRDefault="00000000">
      <w:r>
        <w:t>- Forma de Pagamento: Pagamentos serão realizados com base em marcos de entrega claramente definidos e medidos por meio de critérios de aceitação previamente acordados. A parcela final deverá ser retida até a completa verificação da conformidade do sistema.</w:t>
      </w:r>
    </w:p>
    <w:p w14:paraId="66BD3DAA" w14:textId="77777777" w:rsidR="00627B5C" w:rsidRDefault="00000000">
      <w:r>
        <w:t>- Critérios de Seleção: Técnica e preço, com peso de 70% para a técnica, considerando a experiência prévia, a qualidade técnica da proposta e a inovação apresentada, e 30% para o preço.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Adoção de uma solução cloud de gestão integrada com customizações mínimas.</w:t>
      </w:r>
    </w:p>
    <w:p w14:paraId="50940E7C" w14:textId="77777777" w:rsidR="00627B5C" w:rsidRDefault="00000000">
      <w:r>
        <w:t>Alternativa B: Contratação separada de sistemas especializados para cada módulo da gestão municipal e sua integração por meio de APIs.</w:t>
      </w:r>
    </w:p>
    <w:p w14:paraId="5AFC91FF" w14:textId="77777777" w:rsidR="00627B5C" w:rsidRDefault="00000000">
      <w:r>
        <w:t>Alternativa C: Desenvolvimento de uma nova plataforma inteiramente in-house com assessoria técnica externa.</w:t>
      </w:r>
    </w:p>
    <w:p w14:paraId="2679D382" w14:textId="77777777" w:rsidR="00627B5C" w:rsidRDefault="00000000">
      <w:r>
        <w:t>Análise comparativa: 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DEB31" w14:textId="77777777" w:rsidR="00A7600A" w:rsidRDefault="00A7600A">
      <w:pPr>
        <w:spacing w:after="0" w:line="240" w:lineRule="auto"/>
      </w:pPr>
      <w:r>
        <w:separator/>
      </w:r>
    </w:p>
  </w:endnote>
  <w:endnote w:type="continuationSeparator" w:id="0">
    <w:p w14:paraId="30E6509D" w14:textId="77777777" w:rsidR="00A7600A" w:rsidRDefault="00A7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SP – CEP: 14200-000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A0BAB" w14:textId="77777777" w:rsidR="00A7600A" w:rsidRDefault="00A7600A">
      <w:pPr>
        <w:spacing w:after="0" w:line="240" w:lineRule="auto"/>
      </w:pPr>
      <w:r>
        <w:separator/>
      </w:r>
    </w:p>
  </w:footnote>
  <w:footnote w:type="continuationSeparator" w:id="0">
    <w:p w14:paraId="35F243E1" w14:textId="77777777" w:rsidR="00A7600A" w:rsidRDefault="00A7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2025-05-09T13:41:00Z</dcterms:modified>
  <cp:category/>
</cp:coreProperties>
</file>