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desenvolvimento, implementação, manutenção e suporte técnico de um Sistema de Gestão Educacional integrado. Incluirá funcionalidades para administração de atividades pedagógicas e administrativas como cadastro de alunos, controle de turmas, gestão de matrículas, lançamento de notas, diários de classe digitais, geração de boletins, controle de calendários escolares, comunicação escolar multilateral, módulos financeiros, e conformidade com a LGPD.</w:t>
      </w:r>
    </w:p>
    <w:p w14:paraId="3E27757C" w14:textId="77777777" w:rsidR="00627B5C" w:rsidRDefault="00000000">
      <w:r>
        <w:t>Justificativa da necessidade: A necessidade da contratação se justifica pela ausência de uma solução integrada que suporte eficientemente a gestão educacional no município, o que dificulta a administração de recursos pedagógicos, controle de desempenho e comunicação entre os envolvidos no processo educacional. A implementação desse sistema, conforme preconizado pelo art. 4º da Lei nº 14.133/2021, promove a eficiência e eficácia dos serviços públicos, otimizando recursos e melhorando a qualidade da educação oferecida.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Este projeto foi incluído no Plano de Contratações Anual (PCA) da Prefeitura de Buritizal-SP sob a rubrica de melhoria das infraestruturas tecnológicas educacionais.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Os requisitos abrangem funcionalidades como: cadastro de alunos, professores e servidores; processos de matrícula, rematrícula e transferência; lançamento e monitoramento de notas e frequência; gestão de diários de classe digitais; geração de boletins e relatórios acadêmicos; controle de calendários e eventos pedagógicos; módulos de comunicação integrada; funcionalidades administrativas e financeiras, como controle de taxas e orçamentos, todos providos de segurança conforme a LGPD.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O sistema deverá ser compatível com sistemas legados de gestão municipal, suportar integração com bases de dados educacionais existentes. Seguirá padrões de interoperabilidade e será responsivo para acessos via web e dispositivos móveis, garantindo usabilidade across diversos tipos de usuários.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Deve-se considerar experiências anteriores de implantação de sistemas similares em outros órgãos públicos, levantando-se relatórios de satisfação e eficácia operacional que favorecerão a avaliação técnica da capacidade da empresa proponente.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desenvolvimento e implantação do sistema será realizado no prazo de 18 meses a partir da assinatura do contrato. Este período inclui análise de requisitos, desenvolvimento, testes, treinamento e implantação, considerando a complexidade e a abrangência das funcionalidades exigidas.</w:t>
      </w:r>
    </w:p>
    <w:p w14:paraId="7B28C93E" w14:textId="77777777" w:rsidR="00627B5C" w:rsidRDefault="00000000">
      <w:r>
        <w:t>- Forma de Pagamento: O pagamento será efetuado em parcelas mensais, vinculadas ao progresso das etapas e à entrega de funcionalidades conforme definido no cronograma de execução do projeto. A última parcela será condicionada à aprovação final do sistema e à realização de testes de qualidade e segurança.</w:t>
      </w:r>
    </w:p>
    <w:p w14:paraId="66BD3DAA" w14:textId="77777777" w:rsidR="00627B5C" w:rsidRDefault="00000000">
      <w:r>
        <w:t>- Critérios de Seleção: Serão considerados a experiência prévia, portfólio de soluções em educação, qualidade técnica da proposta e custo. A empresa deve demonstrar capacidade técnica e entrega de soluções similares com êxito, aliado ao atendimento dos requisitos e compatibilidade exigidos.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${etp_estimativa_quantidades}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Desenvolvimento de um sistema modular com a possibilidade de implementação faseada, começando pelos módulos administrativos e financeiros.</w:t>
      </w:r>
    </w:p>
    <w:p w14:paraId="50940E7C" w14:textId="77777777" w:rsidR="00627B5C" w:rsidRDefault="00000000">
      <w:r>
        <w:t>Alternativa B: Contratação de plataforma educacional pré-existente e adaptação ao contexto local.</w:t>
      </w:r>
    </w:p>
    <w:p w14:paraId="5AFC91FF" w14:textId="77777777" w:rsidR="00627B5C" w:rsidRDefault="00000000">
      <w:r>
        <w:t>Alternativa C: Parceria público-privada para o desenvolvimento colaborativo e compartilhado do sistema.</w:t>
      </w:r>
    </w:p>
    <w:p w14:paraId="2679D382" w14:textId="77777777" w:rsidR="00627B5C" w:rsidRDefault="00000000">
      <w:r>
        <w:t>Análise comparativa: Comparando os custos, benefícios e riscos, o desenvolvimento customizado proporcionará maior ajuste às necessidades específicas, enquanto alternativas pré-existentes podem reduzir os prazos iniciais de implementação, mas com possíveis limitações de personalização. A parceria público-privada oferece baixo risco financeiro inicial, mas pode implicar menor controle sobre o processo de desenvolvimento.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Baseado em estudos de mercado e históricos de contratações similares conforme o Painel de Preços disponível, o custo estimado para o desenvolvimento e manutenção do sistema é de R$ 2.000.000,00.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A solução escolhida abrange todas as funcionalidades necessárias para uma gestão educacional eficiente e é alinhada às práticas modernas de TI, proporcionando uma plataforma robusta, segura e integrada.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O pagamento pela solução será parcelado conforme o progresso alcançado nas etapas de desenvolvimento, em conformidade com o art. 40 da Lei nº 14.133/2021, que permite tal prática para garantir a adequação ao orçamento e alinhamento com os entregáveis.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que o sistema aumente a eficiência da administração escolar, melhore o nível educacional, proporcionando uma avaliação mais precisa do desempenho dos alunos e uma melhor comunicação entre os membros da comunidade escolar.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Serão necessárias várias providências antes da implementação, incluindo a realização de uma auditoria dos sistemas existentes, treinamento de equipe técnica e o desenvolvimento de uma infraestrutura de TI adequada.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Este projeto pode estar interdependente com outras contratações da área de TI e infraestrutura educacional que estão preparadas para integrar e maximizar os benefícios do novo sistema.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 projeto é majoritariamente digital portanto, espera-se impacto ambiental limitado. Ainda sim, a implementação do sistema visa reduzir o uso de papel na administração escolar, contribuindo para práticas mais sustentáveis e redução de desperdício.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${etp_viabilidade_contratacao}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O sistema garantirá a conformidade com a LGPD por meio de autenticação robusta, controle de acesso baseado em perfil, criptografia de dados sensíveis e metódos regulares de verificação da segurança da informação.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Riscos incluem atrasos no cronograma, incompatibilidade com sistemas legados, e falhas na segurança de dados. Há também o perigo de não adequação completa às necessidades específicas do ambiente educacional local.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Mitigações propostas incluem revisões periódicas do projeto, testes rigorosos de integração e segurança, treinamento intensivo para usuários e a configuração de backups e protocolos de recuperação de dados.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O sistema proporcionará maior agilidade nas operações escolares, reduzirá erros administrativos, fomentará transparência nas comunicações e oferecerá análises precisas do desempenho dos alunos, promovendo uma melhor gestão educacional.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BURITIZAL, 10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DEB31" w14:textId="77777777" w:rsidR="00A7600A" w:rsidRDefault="00A7600A">
      <w:pPr>
        <w:spacing w:after="0" w:line="240" w:lineRule="auto"/>
      </w:pPr>
      <w:r>
        <w:separator/>
      </w:r>
    </w:p>
  </w:endnote>
  <w:endnote w:type="continuationSeparator" w:id="0">
    <w:p w14:paraId="30E6509D" w14:textId="77777777" w:rsidR="00A7600A" w:rsidRDefault="00A7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A07DB" w14:textId="77777777" w:rsidR="00E439F6" w:rsidRDefault="00E439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São Paulo, 131 – Buritizal – SP – CEP: 14570-000 – Buritizal – 14570-000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26C1E" w14:textId="77777777" w:rsidR="00E439F6" w:rsidRDefault="00E439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A0BAB" w14:textId="77777777" w:rsidR="00A7600A" w:rsidRDefault="00A7600A">
      <w:pPr>
        <w:spacing w:after="0" w:line="240" w:lineRule="auto"/>
      </w:pPr>
      <w:r>
        <w:separator/>
      </w:r>
    </w:p>
  </w:footnote>
  <w:footnote w:type="continuationSeparator" w:id="0">
    <w:p w14:paraId="35F243E1" w14:textId="77777777" w:rsidR="00A7600A" w:rsidRDefault="00A7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8871" w14:textId="77777777" w:rsidR="00E439F6" w:rsidRDefault="00E439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4924B676" w:rsidR="00627B5C" w:rsidRDefault="00000000">
    <w:pPr>
      <w:pStyle w:val="Cabealho"/>
      <w:jc w:val="center"/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462EE" w14:textId="77777777" w:rsidR="00E439F6" w:rsidRDefault="00E439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2198C"/>
    <w:rsid w:val="0015074B"/>
    <w:rsid w:val="002209ED"/>
    <w:rsid w:val="0029639D"/>
    <w:rsid w:val="00326F90"/>
    <w:rsid w:val="00401FEA"/>
    <w:rsid w:val="00627B5C"/>
    <w:rsid w:val="0090464A"/>
    <w:rsid w:val="00A7600A"/>
    <w:rsid w:val="00AA1D8D"/>
    <w:rsid w:val="00B47730"/>
    <w:rsid w:val="00BB453B"/>
    <w:rsid w:val="00CB0664"/>
    <w:rsid w:val="00D55B0B"/>
    <w:rsid w:val="00E43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4</cp:revision>
  <dcterms:created xsi:type="dcterms:W3CDTF">2013-12-23T23:15:00Z</dcterms:created>
  <dcterms:modified xsi:type="dcterms:W3CDTF">2025-05-09T13:41:00Z</dcterms:modified>
  <cp:category/>
</cp:coreProperties>
</file>