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Pr="0018441C" w:rsidRDefault="00D55B0B">
      <w:pPr>
        <w:jc w:val="center"/>
        <w:rPr>
          <w:rFonts w:ascii="Arial" w:hAnsi="Arial" w:cs="Arial"/>
          <w:b/>
          <w:sz w:val="24"/>
          <w:szCs w:val="24"/>
        </w:rPr>
      </w:pPr>
    </w:p>
    <w:p w14:paraId="229CFA6C" w14:textId="70804566" w:rsidR="00627B5C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8"/>
          <w:szCs w:val="28"/>
        </w:rPr>
        <w:t>ESTUDO TÉCNICO PRELIMINAR</w:t>
      </w:r>
      <w:r w:rsidRPr="0018441C">
        <w:rPr>
          <w:rFonts w:ascii="Arial" w:hAnsi="Arial" w:cs="Arial"/>
          <w:b/>
          <w:sz w:val="24"/>
          <w:szCs w:val="24"/>
        </w:rPr>
        <w:br/>
        <w:t xml:space="preserve">(para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avaliação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soluções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viáveis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comprovação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mais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vantajosa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>)</w:t>
      </w:r>
    </w:p>
    <w:p w14:paraId="5905940C" w14:textId="77777777" w:rsidR="005606DF" w:rsidRPr="0018441C" w:rsidRDefault="005606DF">
      <w:pPr>
        <w:jc w:val="center"/>
        <w:rPr>
          <w:rFonts w:ascii="Arial" w:hAnsi="Arial" w:cs="Arial"/>
          <w:sz w:val="24"/>
          <w:szCs w:val="24"/>
        </w:rPr>
      </w:pPr>
    </w:p>
    <w:p w14:paraId="7B3FB50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Introdução</w:t>
      </w:r>
      <w:proofErr w:type="spellEnd"/>
    </w:p>
    <w:p w14:paraId="560FFB45" w14:textId="01F4A437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 A presente contratação visa à aquisição de serviços de desenvolvimento de software, com o objetivo de criar, manter e dar suporte a sistemas digitais utilizados pela Prefeitura Municipal de [NOME DA CIDADE]. O contratado deverá prover soluções tecnológicas que atendam às necessidades administrativas da Prefeitura, melhorando a eficiência dos serviços públicos e o acesso da população a tais serviços por meios digitais, através de sistemas web e aplicativos móveis, conforme demanda.</w:t>
      </w:r>
    </w:p>
    <w:p w14:paraId="3E27757C" w14:textId="214C90D9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necessidade de contratação decorre da defasagem dos sistemas atuais, que não atendem mais às demandas administrativas e dos cidadãos. A modernização dos processos administrativos é imperativa para garantir eficiência, transparência e acessibilidade dos serviços públicos. Além disso, a ampliação do acesso digital aos serviços da Prefeitura alinha-se aos princípios da administração pública, promovendo a economicidade e a inovação tecnológica em benefício do interesse público.</w:t>
      </w:r>
    </w:p>
    <w:p w14:paraId="0AD2F3B6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Previsão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no Plano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Anual</w:t>
      </w:r>
      <w:proofErr w:type="spellEnd"/>
    </w:p>
    <w:p w14:paraId="45571900" w14:textId="19C096C3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contratação está prevista no Plano de Contratações Anual (PCA) da Prefeitura, alinhando-se ao planejamento estratégico institucional. O código correspondente no PCA será definido posteriormente, garantindo que a demanda atende às prioridades orçamentárias e administrativas definidas. Caso a contratação não esteja formalmente prevista, justificativas de urgência e necessidade superveniente serão apresentadas, assegurando a adequação da iniciativa ao contexto atual da administração pública.</w:t>
      </w:r>
    </w:p>
    <w:p w14:paraId="1CD34C8A" w14:textId="174BCAFF" w:rsidR="002209ED" w:rsidRPr="0018441C" w:rsidRDefault="00000000" w:rsidP="002209ED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Requisitos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712C1150" w14:textId="6FDAEF46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O objeto contratado deve obrigatoriamente: 1) Desenvolver sistemas web responsivos conforme as necessidades da Prefeitura; 2) Criar aplicativos móveis sob demanda; 3) Realizar manutenção corretiva, adaptativa e evolutiva dos sistemas existentes; 4) Assegurar a integração com bases de dados e sistemas preexistentes; 5) Fornecer documentação técnica e manuais de usuário; 6) Capacitar servidores para o uso eficiente dos novos sistemas, garantindo a continuidade dos serviços.</w:t>
      </w:r>
    </w:p>
    <w:p w14:paraId="42A11955" w14:textId="4F3BF87D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</w:t>
      </w:r>
      <w:r w:rsidR="002466C0">
        <w:rPr>
          <w:rFonts w:ascii="Arial" w:hAnsi="Arial" w:cs="Arial"/>
          <w:sz w:val="24"/>
          <w:szCs w:val="24"/>
        </w:rPr>
        <w:t xml:space="preserve"> </w:t>
      </w:r>
      <w:r w:rsidR="00733B2E">
        <w:rPr>
          <w:rFonts w:ascii="Arial" w:hAnsi="Arial" w:cs="Arial"/>
          <w:sz w:val="24"/>
          <w:szCs w:val="24"/>
        </w:rPr>
        <w:t>O software a ser desenvolvido deverá ser compatível com os sistemas e bases de dados já existentes na Prefeitura, garantindo a integração e continuidade dos processos administrativos. Além disso, deverá seguir normas técnicas e padrões de mercado, como compatibilidade com integrações via API e aderência a frameworks como React ou Django, conforme exigido. A solução deve também respeitar os requisitos de interoperabilidade e segurança da informação estabelecidos pela administração pública.</w:t>
      </w:r>
    </w:p>
    <w:p w14:paraId="022BCC7A" w14:textId="3FA53829" w:rsidR="002209ED" w:rsidRPr="0018441C" w:rsidRDefault="002209ED" w:rsidP="00B7786B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Experiências anteriores demonstram que a modernização de sistemas administrativos pode trazer melhorias significativas na eficiência e transparência dos serviços públicos. Municípios que adotaram soluções similares relataram redução de custos operacionais e aumento da satisfação dos cidadãos. No entanto, desafios como a resistência à mudança e a necessidade de treinamento contínuo devem ser considerados e geridos adequadamente. A experiência sugere a importância de um planejamento detalhado e do monitoramento contínuo.</w:t>
      </w:r>
    </w:p>
    <w:p w14:paraId="1930AB50" w14:textId="7E8953D1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O prazo estimado para a execução do contrato é de 12 meses, podendo ser prorrogado conforme o interesse da Administração e o cumprimento dos resultados esperados. Esse período é considerado adequado para o desenvolvimento, implantação e estabilização dos novos sistemas, inclusive com etapas de testes, ajustes e capacitação dos servidores. O cronograma deverá contemplar marcos intermediários para entrega de módulos e funcionalidades, garantindo a aderência ao planejamento estratégico institucional.</w:t>
      </w:r>
    </w:p>
    <w:p w14:paraId="7B28C93E" w14:textId="40685B74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O pagamento será efetuado mensalmente, condicionado à entrega de relatórios de atividades e comprovantes dos serviços executados, em conformidade com as práticas de transparência e controle financeiro da administração pública. O modelo de remuneração por desempenho, atrelado a entregas parciais, visa assegurar a qualidade dos serviços prestados e a satisfação dos requisitos contratuais ao longo da vigência do contrato. Poderão ser estabelecidos critérios adicionais vinculados a indicadores de qualidade.</w:t>
      </w:r>
    </w:p>
    <w:p w14:paraId="66BD3DAA" w14:textId="75618198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- A seleção do fornecedor será baseada na análise da proposta técnica e financeira, destacando-se a experiência comprovada em projetos de desenvolvimento de software para o setor público. Serão avaliados o portfólio de projetos anteriores e, se necessário, entrevistas técnicas com a equipe proposta. O julgamento se dará pelo critério de técnica e preço, assegurando-se que a escolha do fornecedor atenda aos princípios de economicidade, eficiência e inovação, conforme preconizado pela legislação vigente.</w:t>
      </w:r>
    </w:p>
    <w:p w14:paraId="04F3A390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Estimativa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Quantidades</w:t>
      </w:r>
      <w:proofErr w:type="spellEnd"/>
    </w:p>
    <w:p w14:paraId="11D68802" w14:textId="0C4FAE2C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estimativa de quantidades envolve o desenvolvimento de sistemas e aplicativos móveis, além da manutenção e suporte técnico contínuos. A projeção é baseada em registros históricos de demandas similares e na análise das necessidades atuais da Prefeitura, considerando-se a expectativa de modernização dos processos. O levantamento quantitativo deverá ser ajustado conforme dados mais precisos forem obtidos, respeitando-se a capacidade operacional e orçamentária da administração pública.</w:t>
      </w:r>
    </w:p>
    <w:p w14:paraId="6E2C6D25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Levantamento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Mercado</w:t>
      </w:r>
    </w:p>
    <w:p w14:paraId="39641C07" w14:textId="1E9BA808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8441C">
        <w:rPr>
          <w:rFonts w:ascii="Arial" w:hAnsi="Arial" w:cs="Arial"/>
          <w:sz w:val="24"/>
          <w:szCs w:val="24"/>
        </w:rPr>
        <w:t xml:space="preserve"> A primeira alternativa é a contratação de uma empresa especializada que desenvolva e mantenha os sistemas necessários. Esta solução oferece a vantagem de contar com expertise técnica e inovação contínua, além de garantir suporte em tempo integral. Contudo, pode apresentar custos mais elevados e depender do relacionamento contratual para ajustes e evoluções. A viabilidade está condicionada à capacidade financeira e à gestão eficaz do contrato, considerando os riscos de dependência externa.</w:t>
      </w:r>
    </w:p>
    <w:p w14:paraId="50940E7C" w14:textId="69B1554A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18441C">
        <w:rPr>
          <w:rFonts w:ascii="Arial" w:hAnsi="Arial" w:cs="Arial"/>
          <w:sz w:val="24"/>
          <w:szCs w:val="24"/>
        </w:rPr>
        <w:t xml:space="preserve"> Outra alternativa é a contratação de profissionais autônomos para o desenvolvimento dos sistemas. Esta opção pode reduzir custos iniciais e permitir flexibilidade na gestão de recursos humanos. No entanto, enfrenta desafios relacionados à capacidade limitada de atendimento a demandas complexas e à continuidade dos serviços em caso de indisponibilidade dos profissionais. A coordenação e supervisão direta são essenciais para mitigar riscos de atrasos e assegurar a qualidade das entregas.</w:t>
      </w:r>
    </w:p>
    <w:p w14:paraId="5AFC91FF" w14:textId="63E2006F" w:rsidR="00627B5C" w:rsidRPr="0018441C" w:rsidRDefault="002466C0" w:rsidP="001844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18441C">
        <w:rPr>
          <w:rFonts w:ascii="Arial" w:hAnsi="Arial" w:cs="Arial"/>
          <w:sz w:val="24"/>
          <w:szCs w:val="24"/>
        </w:rPr>
        <w:t xml:space="preserve"> A terceira alternativa é a capacitação interna dos servidores para o desenvolvimento e manutenção dos sistemas. Embora promova autonomia e construções personalizadas alinhadas às necessidades locais, essa estratégia pode demandar investimentos significativos em treinamento e tempo de adaptação, além de sobrecarregar a equipe existente. A solução pode ser menos ágil em termos de inovação, mas oferece maior controle sobre os processos e continuidade nos serviços, sendo uma opção sustentável a longo prazo.</w:t>
      </w:r>
    </w:p>
    <w:p w14:paraId="2679D382" w14:textId="27F4EC9E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Ao avaliar as alternativas, observa-se que a contratação de uma empresa especializada oferece maior abrangência técnica e inovação, enquanto a opção por profissionais autônomos pode ser mais econômica, mas menos robusta em termos de suporte contínuo. A capacitação interna, embora custosa e lenta na implementação, assegura controle e personalização. A decisão deve considerar o equilíbrio entre custo, eficiência e capacidade de evolução tecnológica, alinhando-se aos objetivos estratégicos da Prefeitura.</w:t>
      </w:r>
    </w:p>
    <w:p w14:paraId="2AB3DCF9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lastRenderedPageBreak/>
        <w:t xml:space="preserve">6.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Estimativa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Preço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5130FF84" w14:textId="3381E8EC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estimativa de preços será elaborada com base em cotações de mercado, consultas a sistemas públicos como o Painel de Preços, e orçamentos anteriores de projetos similares. A metodologia de cálculo considerará os custos dos serviços de desenvolvimento, manutenção e suporte técnico, ajustados à realidade econômica local. A administração buscará obter uma estimativa que reflita a melhor relação custo-benefício, sem comprometer a qualidade e a continuidade dos serviços prestados à população.</w:t>
      </w:r>
    </w:p>
    <w:p w14:paraId="5FC75A98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Descrição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Solução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Como Um Todo</w:t>
      </w:r>
    </w:p>
    <w:p w14:paraId="7DEB6BC8" w14:textId="19D1638E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solução escolhida consiste na contratação de uma empresa especializada para o desenvolvimento e manutenção dos sistemas digitais da Prefeitura. Esta opção foi selecionada por garantir maior robustez técnica, inovação contínua e suporte integral, atendendo plenamente às necessidades administrativas e ao planejamento estratégico institucional. A decisão baseia-se na análise de custo-benefício e na expectativa de modernizar os processos, ampliando o acesso da população aos serviços públicos digitais.</w:t>
      </w:r>
    </w:p>
    <w:p w14:paraId="4B92CD71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8.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Justificativa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para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Parcelamento</w:t>
      </w:r>
      <w:proofErr w:type="spellEnd"/>
    </w:p>
    <w:p w14:paraId="59E05692" w14:textId="10E4EC72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possibilidade de parcelamento da contratação será analisada com base na complexidade do objeto e na necessidade de ampliar a competitividade entre os fornecedores. O parcelamento pode ser vantajoso ao permitir a divisão de riscos e a contratação de fornecedores especializados em diferentes etapas do projeto. Contudo, a decisão deverá respeitar os limites legais e normativos, assegurando-se que o parcelamento não comprometa a execução integrada e eficiente dos serviços contratados.</w:t>
      </w:r>
    </w:p>
    <w:p w14:paraId="0E65F5CF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Demonstrativo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dos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Resultados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Pretendidos</w:t>
      </w:r>
      <w:proofErr w:type="spellEnd"/>
    </w:p>
    <w:p w14:paraId="7893C6B6" w14:textId="394F8B2F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Espera-se que a contratação resulte em significativa modernização dos processos administrativos, ampliando a eficiência e a transparência dos serviços públicos. Metas como a redução de custos operacionais e o aumento do acesso digital aos serviços municipais são indicadas como indicadores de sucesso. A melhoria na satisfação dos usuários e a promoção da inovação tecnológica, refletidas em avaliações positivas dos cidadãos, são também esperadas, reforçando o valor público da contratação.</w:t>
      </w:r>
    </w:p>
    <w:p w14:paraId="583B1D04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Providências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Prévias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Contrato</w:t>
      </w:r>
      <w:proofErr w:type="spellEnd"/>
    </w:p>
    <w:p w14:paraId="6ED507AE" w14:textId="3B9B65A3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Antes da formalização da contratação, foram realizadas reuniões técnicas para levantamento de necessidades, análise de viabilidade e definição dos requisitos do projeto. Estudos preliminares indicaram a defasagem dos sistemas atuais e a urgência na modernização. Comunicações internas e consultas a especialistas foram efetuadas para assegurar que a demanda atende ao planejamento estratégico da Prefeitura. Essas providências evidenciam o planejamento prévio e a diligência na condução do processo.</w:t>
      </w:r>
    </w:p>
    <w:p w14:paraId="7D94874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11.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Contratações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Correlatas</w:t>
      </w:r>
      <w:proofErr w:type="spellEnd"/>
    </w:p>
    <w:p w14:paraId="4615E24B" w14:textId="5396F6B4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Atualmente, não existem contratações simultâneas que impactem diretamente esta demanda. Contudo, a administração realiza aquisições complementares de hardware e serviços de conectividade, essenciais para a infraestrutura dos sistemas a serem desenvolvidos. A coerência entre essas iniciativas assegura a integração tecnológica necessária para a modernização dos processos administrativos, garantindo a continuidade das operações e o atendimento eficiente às necessidades dos cidadãos.</w:t>
      </w:r>
    </w:p>
    <w:p w14:paraId="50971FB3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12.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Impactos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Ambientais</w:t>
      </w:r>
      <w:proofErr w:type="spellEnd"/>
    </w:p>
    <w:p w14:paraId="50A808AB" w14:textId="61834515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contratação deverá considerar os impactos ambientais associados ao uso contínuo de recursos tecnológicos, como consumo energético e descarte de equipamentos obsoletos. Medidas de mitigação incluem a adoção de soluções de software que otimizem o uso de energia e o incentivo ao uso de tecnologias sustentáveis. A logística de implementação e suporte deverá minimizar deslocamentos desnecessários, contribuindo para a redução da pegada ecológica. A análise ambiental será proporcional à natureza do objeto.</w:t>
      </w:r>
    </w:p>
    <w:p w14:paraId="59615E83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13.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Viabilidade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0773B1FE" w14:textId="03FE33D7" w:rsidR="00627B5C" w:rsidRPr="0018441C" w:rsidRDefault="00000000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viabilidade da contratação é confirmada sob os aspectos técnico, legal e orçamentário. A solução proposta pode ser executada com os recursos disponíveis, atendendo aos requisitos legais e normativos da Lei nº 14.133/2021. A capacidade técnica do mercado e a disponibilidade orçamentária da Prefeitura garantem a implementação exitosa do projeto, alinhando-se ao planejamento estratégico e aos princípios da administração pública, como eficiência e inovação.</w:t>
      </w:r>
    </w:p>
    <w:p w14:paraId="6087AAA6" w14:textId="5E79FA4C" w:rsidR="002209ED" w:rsidRPr="0018441C" w:rsidRDefault="002209ED" w:rsidP="002209ED">
      <w:pPr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14.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Conformidade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com a Lei Geral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Proteção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Dados (LGPD)</w:t>
      </w:r>
    </w:p>
    <w:p w14:paraId="7C800E0C" w14:textId="4A176039" w:rsidR="00627B5C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 conformidade com a Lei Geral de Proteção de Dados (Lei nº 13.709/2018) será observada rigorosamente na contratação. Havendo tratamento de dados pessoais, o contratado deverá adotar medidas de segurança robustas, garantindo a confidencialidade, integridade e controle de acesso às informações. Cláusulas contratuais específicas serão inseridas para assegurar que o tratamento de dados respeite os princípios da LGPD, protegendo os direitos dos cidadãos e a integridade dos sistemas da Prefeitura.</w:t>
      </w:r>
    </w:p>
    <w:p w14:paraId="527E9553" w14:textId="6F0B4AAB" w:rsidR="002209ED" w:rsidRPr="0018441C" w:rsidRDefault="002209ED" w:rsidP="002209ED">
      <w:pPr>
        <w:rPr>
          <w:rFonts w:ascii="Arial" w:hAnsi="Arial" w:cs="Arial"/>
          <w:b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15.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Riscos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Técnicos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Estratégias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Mitigação</w:t>
      </w:r>
      <w:proofErr w:type="spellEnd"/>
    </w:p>
    <w:p w14:paraId="190F5EC6" w14:textId="7DD34F7B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Os riscos técnicos identificados incluem falhas na integração dos novos sistemas com os existentes, atrasos na entrega de funcionalidades e indisponibilidade de suporte técnico. Tais riscos podem comprometer a continuidade dos serviços públicos e a satisfação dos usuários. A análise técnica sugere a necessidade de planejamento detalhado, monitoramento contínuo e gestão eficaz de incidentes para mitigar os impactos potenciais e assegurar o sucesso da execução contratual.</w:t>
      </w:r>
    </w:p>
    <w:p w14:paraId="7E884595" w14:textId="2E9D2DA7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Para mitigar os riscos técnicos, serão adotadas as seguintes estratégias: 1) Planejamento detalhado das fases de implementação e integração; 2) Realização de testes exaustivos de compatibilidade e performance; 3) Estabelecimento de cláusulas contratuais rigorosas para cumprimento de prazos e qualidade; 4) Implementação de planos de contingência para continuidade dos serviços em caso de falhas; 5) Capacitação contínua das equipes envolvidas para lidar com incidentes técnicos de forma ágil e eficaz.</w:t>
      </w:r>
    </w:p>
    <w:p w14:paraId="2B2CF629" w14:textId="0499DFED" w:rsidR="002209ED" w:rsidRPr="0018441C" w:rsidRDefault="002209ED" w:rsidP="002209ED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b/>
          <w:sz w:val="24"/>
          <w:szCs w:val="24"/>
        </w:rPr>
        <w:t xml:space="preserve">16.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Benefícios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Qualitativos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Não</w:t>
      </w:r>
      <w:proofErr w:type="spellEnd"/>
      <w:r w:rsidRPr="001844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sz w:val="24"/>
          <w:szCs w:val="24"/>
        </w:rPr>
        <w:t>Mensuráveis</w:t>
      </w:r>
      <w:proofErr w:type="spellEnd"/>
    </w:p>
    <w:p w14:paraId="4DE6F9B9" w14:textId="5EED1ED5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Entre os benefícios qualitativos esperados, destaca-se a melhoria da imagem institucional da Prefeitura, através de processos mais modernos e acessíveis. Espera-se também o fortalecimento da confiança dos cidadãos nos serviços públicos, aumento da transparência e satisfação dos servidores com ferramentas mais eficientes. A contratação poderá estimular a inovação na gestão municipal, promovendo um ambiente mais dinâmico e adaptado às necessidades contemporâneas, com reflexos positivos na percepção pública.</w:t>
      </w:r>
    </w:p>
    <w:p w14:paraId="3DB3AF03" w14:textId="77777777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</w:p>
    <w:p w14:paraId="4A71B885" w14:textId="1FA9F8BC" w:rsidR="002209ED" w:rsidRPr="0018441C" w:rsidRDefault="002209ED" w:rsidP="0018441C">
      <w:pPr>
        <w:jc w:val="both"/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Declaro que </w:t>
      </w:r>
      <w:proofErr w:type="spellStart"/>
      <w:r w:rsidRPr="0018441C">
        <w:rPr>
          <w:rFonts w:ascii="Arial" w:hAnsi="Arial" w:cs="Arial"/>
          <w:sz w:val="24"/>
          <w:szCs w:val="24"/>
        </w:rPr>
        <w:t>este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Estudo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Técnico </w:t>
      </w:r>
      <w:proofErr w:type="spellStart"/>
      <w:r w:rsidRPr="0018441C">
        <w:rPr>
          <w:rFonts w:ascii="Arial" w:hAnsi="Arial" w:cs="Arial"/>
          <w:sz w:val="24"/>
          <w:szCs w:val="24"/>
        </w:rPr>
        <w:t>Preliminar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atende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às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exigências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do art. 18 da Lei nº 14.133/2021 e segue </w:t>
      </w:r>
      <w:proofErr w:type="spellStart"/>
      <w:r w:rsidRPr="0018441C">
        <w:rPr>
          <w:rFonts w:ascii="Arial" w:hAnsi="Arial" w:cs="Arial"/>
          <w:sz w:val="24"/>
          <w:szCs w:val="24"/>
        </w:rPr>
        <w:t>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parâmetros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estabelecidos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18441C">
        <w:rPr>
          <w:rFonts w:ascii="Arial" w:hAnsi="Arial" w:cs="Arial"/>
          <w:sz w:val="24"/>
          <w:szCs w:val="24"/>
        </w:rPr>
        <w:t>Instrução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sz w:val="24"/>
          <w:szCs w:val="24"/>
        </w:rPr>
        <w:t>Normativa</w:t>
      </w:r>
      <w:proofErr w:type="spellEnd"/>
      <w:r w:rsidRPr="0018441C">
        <w:rPr>
          <w:rFonts w:ascii="Arial" w:hAnsi="Arial" w:cs="Arial"/>
          <w:sz w:val="24"/>
          <w:szCs w:val="24"/>
        </w:rPr>
        <w:t xml:space="preserve"> SEGES/ME nº 05/2017.</w:t>
      </w:r>
    </w:p>
    <w:p w14:paraId="57A7EC14" w14:textId="77777777" w:rsidR="00627B5C" w:rsidRPr="0018441C" w:rsidRDefault="000000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Aprovo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8441C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  <w:r w:rsidRPr="0018441C">
        <w:rPr>
          <w:rFonts w:ascii="Arial" w:hAnsi="Arial" w:cs="Arial"/>
          <w:b/>
          <w:bCs/>
          <w:sz w:val="24"/>
          <w:szCs w:val="24"/>
        </w:rPr>
        <w:t>.</w:t>
      </w:r>
    </w:p>
    <w:p w14:paraId="263151E3" w14:textId="3105F9CD" w:rsidR="00D55B0B" w:rsidRPr="0018441C" w:rsidRDefault="00D55B0B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60188FB5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ARAMINA,</w:t>
      </w:r>
      <w:proofErr w:type="gramEnd"/>
      <w:r w:rsidRPr="0018441C">
        <w:rPr>
          <w:rFonts w:ascii="Arial" w:hAnsi="Arial" w:cs="Arial"/>
          <w:sz w:val="24"/>
          <w:szCs w:val="24"/>
        </w:rPr>
        <w:t xml:space="preserve"> 14 de maio de 2025</w:t>
      </w:r>
    </w:p>
    <w:p w14:paraId="294E07CB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[nome protected]</w:t>
      </w:r>
    </w:p>
    <w:p w14:paraId="318DC5F2" w14:textId="77777777" w:rsidR="00627B5C" w:rsidRPr="0018441C" w:rsidRDefault="00000000">
      <w:pPr>
        <w:rPr>
          <w:rFonts w:ascii="Arial" w:hAnsi="Arial" w:cs="Arial"/>
          <w:sz w:val="24"/>
          <w:szCs w:val="24"/>
        </w:rPr>
      </w:pPr>
      <w:r w:rsidRPr="0018441C">
        <w:rPr>
          <w:rFonts w:ascii="Arial" w:hAnsi="Arial" w:cs="Arial"/>
          <w:sz w:val="24"/>
          <w:szCs w:val="24"/>
        </w:rPr>
        <w:t>Prefeito Municipal</w:t>
      </w:r>
    </w:p>
    <w:sectPr w:rsidR="00627B5C" w:rsidRPr="0018441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D66FB" w14:textId="77777777" w:rsidR="00260405" w:rsidRDefault="00260405">
      <w:pPr>
        <w:spacing w:after="0" w:line="240" w:lineRule="auto"/>
      </w:pPr>
      <w:r>
        <w:separator/>
      </w:r>
    </w:p>
  </w:endnote>
  <w:endnote w:type="continuationSeparator" w:id="0">
    <w:p w14:paraId="5D84D429" w14:textId="77777777" w:rsidR="00260405" w:rsidRDefault="0026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6695AC9C" w:rsidR="00627B5C" w:rsidRPr="005606DF" w:rsidRDefault="00000000">
    <w:pPr>
      <w:pStyle w:val="Rodap"/>
      <w:jc w:val="center"/>
      <w:rPr>
        <w:rFonts w:ascii="Arial" w:hAnsi="Arial" w:cs="Arial"/>
        <w:sz w:val="24"/>
        <w:szCs w:val="24"/>
      </w:rPr>
    </w:pPr>
    <w:r w:rsidRPr="005606DF">
      <w:rPr>
        <w:rFonts w:ascii="Arial" w:hAnsi="Arial" w:cs="Arial"/>
        <w:sz w:val="24"/>
        <w:szCs w:val="24"/>
      </w:rPr>
      <w:t>Rua Dr. Bráulio de Andrade Junqueira, 795 - Centro, Aramina - SP</w:t>
    </w:r>
    <w:r w:rsidR="005606DF" w:rsidRPr="005606DF">
      <w:rPr>
        <w:rFonts w:ascii="Arial" w:hAnsi="Arial" w:cs="Arial"/>
        <w:sz w:val="24"/>
        <w:szCs w:val="24"/>
      </w:rPr>
      <w:t xml:space="preserve"> - 14550-000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0C551" w14:textId="77777777" w:rsidR="00260405" w:rsidRDefault="00260405">
      <w:pPr>
        <w:spacing w:after="0" w:line="240" w:lineRule="auto"/>
      </w:pPr>
      <w:r>
        <w:separator/>
      </w:r>
    </w:p>
  </w:footnote>
  <w:footnote w:type="continuationSeparator" w:id="0">
    <w:p w14:paraId="2DAE15CA" w14:textId="77777777" w:rsidR="00260405" w:rsidRDefault="0026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  <w:rPr>
        <w:rFonts w:ascii="Arial" w:hAnsi="Arial" w:cs="Arial"/>
        <w:sz w:val="24"/>
        <w:szCs w:val="24"/>
      </w:rPr>
    </w:pPr>
    <w:r w:rsidRPr="005606DF">
      <w:rPr>
        <w:rFonts w:ascii="Arial" w:hAnsi="Arial" w:cs="Arial"/>
        <w:sz w:val="24"/>
        <w:szCs w:val="24"/>
      </w:rPr>
      <w:t/>
      <w:pict>
        <v:shape type="#_x0000_t75" style="width:70px;height:70px" stroked="f" filled="f">
          <v:imagedata r:id="rId1" o:title=""/>
        </v:shape>
      </w:pict>
      <w:t/>
    </w:r>
    <w:r w:rsidRPr="005606DF">
      <w:rPr>
        <w:rFonts w:ascii="Arial" w:hAnsi="Arial" w:cs="Arial"/>
        <w:sz w:val="24"/>
        <w:szCs w:val="24"/>
      </w:rPr>
      <w:br/>
    </w:r>
    <w:r w:rsidRPr="005606DF">
      <w:rPr>
        <w:rFonts w:ascii="Arial" w:hAnsi="Arial" w:cs="Arial"/>
        <w:sz w:val="24"/>
        <w:szCs w:val="24"/>
      </w:rPr>
      <w:br/>
    </w:r>
    <w:r w:rsidRPr="005606DF">
      <w:rPr>
        <w:rFonts w:ascii="Arial" w:hAnsi="Arial" w:cs="Arial"/>
        <w:b/>
        <w:sz w:val="24"/>
        <w:szCs w:val="24"/>
      </w:rPr>
      <w:t>PREFEITURA MUNICIPAL DE ARAMINA</w:t>
    </w:r>
    <w:r w:rsidRPr="005606DF">
      <w:rPr>
        <w:rFonts w:ascii="Arial" w:hAnsi="Arial" w:cs="Arial"/>
        <w:b/>
        <w:sz w:val="24"/>
        <w:szCs w:val="24"/>
      </w:rPr>
      <w:br/>
    </w:r>
    <w:r w:rsidRPr="005606DF">
      <w:rPr>
        <w:rFonts w:ascii="Arial" w:hAnsi="Arial" w:cs="Arial"/>
        <w:sz w:val="24"/>
        <w:szCs w:val="24"/>
      </w:rPr>
      <w:t>SECRETARIA DE ADMINISTRAÇÃO E PLANEJAMENTO</w:t>
    </w:r>
    <w:r w:rsidRPr="005606DF">
      <w:rPr>
        <w:rFonts w:ascii="Arial" w:hAnsi="Arial" w:cs="Arial"/>
        <w:sz w:val="24"/>
        <w:szCs w:val="24"/>
      </w:rPr>
      <w:br/>
      <w:t>DIRETORIA DE LICITAÇÕES E CONTRATOS</w:t>
    </w:r>
  </w:p>
  <w:p w14:paraId="7115C812" w14:textId="77777777" w:rsidR="005606DF" w:rsidRPr="005606DF" w:rsidRDefault="005606DF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18441C"/>
    <w:rsid w:val="002209ED"/>
    <w:rsid w:val="002466C0"/>
    <w:rsid w:val="00260405"/>
    <w:rsid w:val="0029639D"/>
    <w:rsid w:val="00326F90"/>
    <w:rsid w:val="003D3D47"/>
    <w:rsid w:val="00401FEA"/>
    <w:rsid w:val="00541E1A"/>
    <w:rsid w:val="005606DF"/>
    <w:rsid w:val="00627B5C"/>
    <w:rsid w:val="006662C9"/>
    <w:rsid w:val="00733B2E"/>
    <w:rsid w:val="008B1BB4"/>
    <w:rsid w:val="0090464A"/>
    <w:rsid w:val="009376C6"/>
    <w:rsid w:val="00A7600A"/>
    <w:rsid w:val="00AA1D8D"/>
    <w:rsid w:val="00B47730"/>
    <w:rsid w:val="00B7786B"/>
    <w:rsid w:val="00BB453B"/>
    <w:rsid w:val="00C05E9F"/>
    <w:rsid w:val="00C4418D"/>
    <w:rsid w:val="00CB0664"/>
    <w:rsid w:val="00CC0D42"/>
    <w:rsid w:val="00D4530F"/>
    <w:rsid w:val="00D55B0B"/>
    <w:rsid w:val="00D90599"/>
    <w:rsid w:val="00E439F6"/>
    <w:rsid w:val="00E6286B"/>
    <w:rsid w:val="00EB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259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11</cp:revision>
  <dcterms:created xsi:type="dcterms:W3CDTF">2013-12-23T23:15:00Z</dcterms:created>
  <dcterms:modified xsi:type="dcterms:W3CDTF">2025-05-14T19:21:00Z</dcterms:modified>
  <cp:category/>
</cp:coreProperties>
</file>