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presente Termo de Referência destina-se à contratação de serviços especializados de engenharia elétrica, que inclui manutenção preventiva e corretiva, bem como a instalação de novos sistemas elétricos em prédios públicos municipais. O serviço requer uma abordagem técnica detalhada para garantir a segurança, eficiência energética e conformidade com as normativas vigentes sobre instalações elétricas.</w:t>
      </w:r>
    </w:p>
    <w:p w14:paraId="54D3C96B" w14:textId="77777777" w:rsidR="009B5DCB" w:rsidRDefault="00000000">
      <w:r>
        <w:t>Justificativa da Demanda: A necessidade dos serviços de manutenção e instalação elétrica é imperativa para assegurar a funcionalidade adequada das infraestruturas municipais, evitar falhas no fornecimento de energia, reduzir riscos de acidentes e garantir a segurança dos usuários e servidores públicos que frequentam as instalações.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Esta contratação está fundamentada na Lei nº 14.133/2021, que regula as licitações e contratos administrativos. Adicionalmente, observa-se a Constituição Federal e as normas municipais pertinentes que regulamentam serviços de engenharia e manutenção.</w:t>
      </w:r>
    </w:p>
    <w:p w14:paraId="45146ED4" w14:textId="77777777" w:rsidR="009B5DCB" w:rsidRDefault="00000000">
      <w:r>
        <w:t>Normas Aplicáveis: Normas técnicas da ABNT, como a NBR 5410 (Instalações Elétricas de Baixa Tensão) e NBR 14039 (Instalações Elétricas de Média Tensão), além de regulamentações do CONFEA e legislação ambiental aplicável à gestão de resíduos e uso de materiais sustentáveis.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O projeto será executado em fases: 1) diagnóstico das condições existentes, 2) planejamento das intervenções, 3) execução das manutenções e instalações, 4) testes e validações técnicas e 5) entrega final com relatórios detalhados das atividades realizadas.</w:t>
      </w:r>
    </w:p>
    <w:p w14:paraId="33C55D02" w14:textId="77777777" w:rsidR="009B5DCB" w:rsidRDefault="00000000">
      <w:r>
        <w:t>Tolerância Técnica: Será admitida uma tolerância de até 5% para variações nas especificações técnicas dos materiais usados, desde que não comprometa a segurança e eficiência do sistema elétrico. Qualquer desvio maior deverá ser justificado tecnicamente e aprovado pela fiscalização.</w:t>
      </w:r>
    </w:p>
    <w:p w14:paraId="358DEAEC" w14:textId="77777777" w:rsidR="009B5DCB" w:rsidRDefault="00000000">
      <w:r>
        <w:t>Materiais Sustentáveis e Logística Reversa: Os materiais empregados devem seguir critérios de sustentabilidade, preferencialmente certificados por órgãos reconhecidos, que comprovem menor impacto ambiental, maior durabilidade e eficiência energética, contribuindo para as práticas de responsabilidade socioambiental da administração pública.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Exige-se que os licitantes comprovem experiência anterior em serviços similares, com a apresentação de pelo menos três atestados de capacidade técnica relacionados à execução de serviços de engenharia elétrica em entidades públicas ou privadas de grande porte.</w:t>
      </w:r>
    </w:p>
    <w:p w14:paraId="3923C4DD" w14:textId="77777777" w:rsidR="009B5DCB" w:rsidRDefault="00000000">
      <w:r>
        <w:t>Certificações Exigidas: Os profissionais envolvidos devem possuir certificação técnica em engenharia elétrica, reconhecida pelo CREA, além de treinamentos específicos em NR-10 (Segurança em Instalações e Serviços em Eletricidade).</w:t>
      </w:r>
    </w:p>
    <w:p w14:paraId="2C441233" w14:textId="77777777" w:rsidR="009B5DCB" w:rsidRDefault="00000000">
      <w:r>
        <w:t>PGR e PCMSO: Deverá ser apresentado o Programa de Gerenciamento de Riscos (PGR) e o Programa de Controle Médico de Saúde Ocupacional (PCMSO), conforme normas regulamentadoras vigentes, para garantir a segurança e saúde dos trabalhadores durante a execução do contrato.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julgamento das propostas será realizado pelo critério de técnica e preço, considerando a melhor técnica com preço compatível, visando maximizar a relação custo-benefício para a administração pública.</w:t>
      </w:r>
    </w:p>
    <w:p w14:paraId="5F36B211" w14:textId="77777777" w:rsidR="009B5DCB" w:rsidRDefault="00000000">
      <w:r>
        <w:t>Garantia de Qualidade: Exige-se garantia mínima de um ano para todos os serviços prestados, incluindo manutenções corretivas decorrentes de vícios ou defeitos técnicos identificados após a execução dos serviços.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constituído um painel de fiscalização composto por servidores técnicos qualificados do município, responsáveis por acompanhar e avaliar a execução do contrato, assegurando que todas as etapas atendam às especificações técnicas e contratuais estabelecidas.</w:t>
      </w:r>
    </w:p>
    <w:p w14:paraId="517675B6" w14:textId="77777777" w:rsidR="009B5DCB" w:rsidRDefault="00000000">
      <w:r>
        <w:t>KPIs Operacionais: Os indicadores de desempenho (KPIs) incluirão taxa de falhas, tempo médio de resposta para manutenções corretivas, satisfação do usuário e eficiência energética pós-intervenção.</w:t>
      </w:r>
    </w:p>
    <w:p w14:paraId="488E950B" w14:textId="77777777" w:rsidR="009B5DCB" w:rsidRDefault="00000000">
      <w:r>
        <w:t>Designação Formal: O fiscal do contrato será formalmente designado por ato do Secretário Municipal de Obras e Serviços Públicos, sendo este responsável pela gestão e supervisão direta do contrato.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As penalidades por inexecução parcial ou total do contrato incluirão multas, suspensão temporária de participar em licitações e impedimento de contratar com a Administração Pública, conforme previsto na Lei nº 14.133/2021 e demais normativas aplicáveis.</w:t>
      </w:r>
    </w:p>
    <w:p w14:paraId="483EF825" w14:textId="77777777" w:rsidR="009B5DCB" w:rsidRDefault="00000000">
      <w:r>
        <w:t>Alertas IA LUX: Serão utilizados sistemas de inteligência artificial para monitorar a execução dos serviços em tempo real, alertando sobre desvios, atrasos ou inconformidades técnicas imediatamente.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Planilha de quantitativos e preços unitários, certidões negativas de débitos, atestados de capacidade técnica, cópias das certificações técnicas dos profissionais, PGR, PCMSO.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Resumo do projeto, objetivos, etapas de execução, valor total e benefícios esperados serão publicados no Portal da Transparência para conhecimento e acompanhamento pela população.</w:t>
      </w:r>
    </w:p>
    <w:p w14:paraId="6CAAB3F7" w14:textId="77777777" w:rsidR="009B5DCB" w:rsidRDefault="00000000">
      <w:r>
        <w:t>FAQ Jurídico: Incluirá perguntas frequentes sobre o processo de licitação, critérios de julgamento, obrigações contratuais e direitos e deveres das partes envolvidas.</w:t>
      </w:r>
    </w:p>
    <w:p w14:paraId="6BC6F174" w14:textId="77777777" w:rsidR="009B5DCB" w:rsidRDefault="00000000">
      <w:r>
        <w:t>Assinatura Digital: A assinatura do contrato será realizada eletronicamente, mediante uso de certificado digital ICP-Brasil, garantindo a autenticidade, integridade, e validade jurídica do documento.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5 dias úteis após a assinatura para publicação do contrato no Portal da Transparência.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Canal de atendimento ao cidadão será disponibilizado por e-mail: transparencia@municipio.gov.br, telefone (XX) 4002-8922, e por formulário eletrônico no portal da prefeitura.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</w:t>
      </w:r>
      <w:proofErr w:type="gramEnd"/>
      <w:r>
        <w:t xml:space="preserve"> 06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Eng. João Carlos Silva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Engenheiro Eletricista Chefe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Dra. Ana Maria de Souza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Secretária Municipal de Obras e Serviços Públicos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