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objeto da presente contratação inclui a locação de um trator de esteira, caminhão munck, caminhão hidrovácuo e caminhão caçamba de 12m³. Os equipamentos devem estar em conformidade com as normativas vigentes de segurança e operação, devendo o trator de esteira possuir potência mínima de 130 HP, lâmina com capacidade mínima de 3,0 m³ e peso operacional mínimo de 13.000 kg. O caminhão munck deve apresentar capacidade de carga e descarga de no mínimo 7.000 kg e alcance mínimo de 12 metros. O caminhão hidrovácuo é requerido para serviços de limpeza e desobstrução com tanque de mínima capacidade de 8.000 litros. Por fim, o caminhão caçamba deve ter capacidade de 12m³ para transporte de materiais diversos, com sistema de basculante hidráulico.</w:t>
      </w:r>
    </w:p>
    <w:p w14:paraId="54D3C96B" w14:textId="77777777" w:rsidR="009B5DCB" w:rsidRDefault="00000000">
      <w:r>
        <w:t>Justificativa da Demanda: A necessidade de locação desses equipamentos surge da urgência em atender as operações de infraestrutura, como manutenção de vias, limpeza de áreas públicas e projetos de agricultura e meio ambiente em Buritizal. A falta destes equipamentos comprometeria a capacidade do município de manter a infraestrutura adequada, afetando diretamente o bem-estar da população e o desenvolvimento sustentável da região.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Esta contratação está fundamentada na Lei nº 14.133/2021, que regula as licitações e contratos administrativos pertinentes a bens, serviços, inclusive de publicidade, obras e serviços de engenharia. Ademais, segue as orientações da IN SEGES nº 5/2017 quanto à formatação e elaboração de Termos de Referência ou projetos básicos detalhados.</w:t>
      </w:r>
    </w:p>
    <w:p w14:paraId="45146ED4" w14:textId="77777777" w:rsidR="009B5DCB" w:rsidRDefault="00000000">
      <w:r>
        <w:t>Normas Aplicáveis: Aplica-se a este Termo de Referência, além da Lei nº 14.133/2021, o Código de Trânsito Brasileiro, as normas técnicas da ABNT para segurança e operação de equipamentos pesados e as regulamentações ambientais vigentes que orientam sobre a emissão de poluentes e ruídos.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A execução do contrato será dividida em etapas que incluem: 1) Mobilização e desmobilização dos equipamentos; 2) Operação dos equipamentos conforme demanda da Secretaria; 3) Manutenção preventiva e corretiva dos equipamentos; 4) Treinamento de pessoal técnico municipal para operação segura dos equipamentos; 5) Desmobilização final dos equipamentos.</w:t>
      </w:r>
    </w:p>
    <w:p w14:paraId="33C55D02" w14:textId="77777777" w:rsidR="009B5DCB" w:rsidRDefault="00000000">
      <w:r>
        <w:t>Tolerância Técnica: As especificações técnicas dos equipamentos deverão ter uma tolerância de +/- 5% quanto à capacidade operacional. Qualquer variação superior deve ser justificada pelo fornecedor e aprovada pela autoridade competente do município.</w:t>
      </w:r>
    </w:p>
    <w:p w14:paraId="358DEAEC" w14:textId="77777777" w:rsidR="009B5DCB" w:rsidRDefault="00000000">
      <w:r>
        <w:t>Materiais Sustentáveis e Logística Reversa: Os equipamentos devem utilizar combustíveis com baixo teor de enxofre ou alternativas energéticas menos poluentes, como biodiesel, em conformidade com a política de sustentabilidade do município e normas ambientais vigentes.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A experiência em contratos similares será avaliada, sendo exigido que o fornecedor apresente comprovação de atuação anterior em locações de equipamentos pesados para setores públicos ou privados, com bom desempenho operacional e logístico.</w:t>
      </w:r>
    </w:p>
    <w:p w14:paraId="3923C4DD" w14:textId="77777777" w:rsidR="009B5DCB" w:rsidRDefault="00000000">
      <w:r>
        <w:t>Certificações Exigidas: O fornecedor deve possuir certificações ISO 9001:2015 para gestão da qualidade, ISO 14001:2015 para gestão ambiental e OHSAS 18001 para normas de saúde e segurança ocupacional.</w:t>
      </w:r>
    </w:p>
    <w:p w14:paraId="2C441233" w14:textId="77777777" w:rsidR="009B5DCB" w:rsidRDefault="00000000">
      <w:r>
        <w:t>PGR e PCMSO: Deverá ser apresentado pelo fornecedor o Programa de Gerenciamento de Riscos (PGR) e o Programa de Controle Médico de Saúde Ocupacional (PCMSO), conforme NR-9 e NR-7 respectivamente, garantindo a segurança e saúde dos operadores.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critério de julgamento para a escolha do fornecedor será o de menor preço, assegurando que todas as especificações técnicas e de qualidade sejam rigorosamente atendidas.</w:t>
      </w:r>
    </w:p>
    <w:p w14:paraId="5F36B211" w14:textId="77777777" w:rsidR="009B5DCB" w:rsidRDefault="00000000">
      <w:r>
        <w:t>Garantia de Qualidade: O fornecedor deve garantir que todos os equipamentos estejam em excelente estado de conservação e funcionamento, oferecendo garantia mínima de 12 meses para defeitos de operação e manutenção, com substituição sem custo adicional.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Será implementado um painel de fiscalização para monitoramento contínuo das atividades, utilizando indicadores de performance, relatórios de manutenção e feedbacks operacionais, garantindo a transparência e eficácia do contrato.</w:t>
      </w:r>
    </w:p>
    <w:p w14:paraId="517675B6" w14:textId="77777777" w:rsidR="009B5DCB" w:rsidRDefault="00000000">
      <w:r>
        <w:t>KPIs Operacionais: Os KPIs operacionais incluirão taxa de disponibilidade dos equipamentos, tempo médio entre falhas, tempo médio para reparos, satisfação do usuário final e impacto ambiental (emissões).</w:t>
      </w:r>
    </w:p>
    <w:p w14:paraId="488E950B" w14:textId="77777777" w:rsidR="009B5DCB" w:rsidRDefault="00000000">
      <w:r>
        <w:t>Designação Formal: O fiscal do contrato será formalmente designado pelo Secretário de Infraestrutura, Agricultura e Meio Ambiente, possuindo competência técnica para supervisionar a execução contratual.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As penalidades por inexecução parcial ou total do contrato incluirão multas, suspensão temporária de participação em licitação e impedimento de contratar com a União, conforme artigo 87 da Lei nº 14.133/2021.</w:t>
      </w:r>
    </w:p>
    <w:p w14:paraId="483EF825" w14:textId="77777777" w:rsidR="009B5DCB" w:rsidRDefault="00000000">
      <w:r>
        <w:t>Alertas IA LUX: Será utilizado um sistema de inteligência artificial para emitir alertas de desvios operacionais e preventivos, melhorando a gestão do contrato e a resposta a incidentes.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Os anexos incluirão: Proposta Comercial, Certidões Negativas de Débitos, Comprovantes de Capacidade Técnica, Licenças Ambientais, PGR, PCMSO, e certificações ISO e OHSAS.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Este Termo de Referência será publicado no Portal da Transparência, incluindo descrição completa do objeto, justificativa, etapas de execução, fiscalização e todas as informações relevantes para que a sociedade possa acompanhar e fiscalizar a execução contratual.</w:t>
      </w:r>
    </w:p>
    <w:p w14:paraId="6CAAB3F7" w14:textId="77777777" w:rsidR="009B5DCB" w:rsidRDefault="00000000">
      <w:r>
        <w:t>FAQ Jurídico: O FAQ jurídico incluirá perguntas e respostas sobre o processo de licitação, critérios de julgamento, direitos e obrigações das partes, mecanismos de fiscalização e possíveis penalidades em caso de inexecução contratual.</w:t>
      </w:r>
    </w:p>
    <w:p w14:paraId="6BC6F174" w14:textId="77777777" w:rsidR="009B5DCB" w:rsidRDefault="00000000">
      <w:r>
        <w:t>Assinatura Digital: A assinatura do contrato deverá ser realizada digitalmente, através de certificado ICP-Brasil, garantindo a integridade e autenticidade dos documentos.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5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Contato para dúvidas e mais informações será disponibilizado via e-mail: infraestrutura@buritizal.gov.br e telefone (16) 9999-9999.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BURITIZAL,</w:t>
      </w:r>
      <w:proofErr w:type="gramEnd"/>
      <w:r>
        <w:t xml:space="preserve"> 06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João Silva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Engenheiro Civil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Maria Oliveira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Secretária de Infraestrutura, Agricultura e Meio Ambiente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São Paulo, 131 – CEP: 14570-000 – Buritizal – 14570-000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0.344827586207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Buritizal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