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O presente Termo de Referência destina-se à contratação de serviços de fornecimento de lanches e coffee break que devem incluir opções diversas como sanduíches, sucos, refrigerantes, doces e salgados variados, alinhando-se às necessidades nutricionais e dietéticas para atender aos participantes dos eventos promovidos pelas Secretarias de Assistência Social, Saúde, entre outras. Todos os itens deverão ser preparados em condições higiênicas estritas e conforme as diretrizes da vigilância sanitária.</w:t>
      </w:r>
    </w:p>
    <w:p w14:paraId="54D3C96B" w14:textId="77777777" w:rsidR="009B5DCB" w:rsidRDefault="00000000">
      <w:r>
        <w:t>Justificativa da Demanda: A realização de eventos pelo Município, incluindo workshops, conferências e reuniões interdepartamentais, necessita do fornecimento contínuo de lanches e coffee break para garantir o adequado acolhimento dos participantes e o suporte nas jornadas eventuais ou prolongadas, fomentando um ambiente propício para o engajamento e eficácia das atividades propostas.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Este processo de contratação está fundamentado na Lei nº 14.133/2021, que regula as licitações e contratos administrativos pertinentes a bens, serviços, inclusive de publicidade, obras e serviços de engenharia.</w:t>
      </w:r>
    </w:p>
    <w:p w14:paraId="45146ED4" w14:textId="77777777" w:rsidR="009B5DCB" w:rsidRDefault="00000000">
      <w:r>
        <w:t>Normas Aplicáveis: Aplica-se a Resolução da ANVISA RDC nº 216/2004, que dispõe sobre as condições higiênico-sanitárias e de boas práticas para serviços de alimentação, garantindo a segurança alimentar e a conformidade dos produtos.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A execução incluirá a preparação prévia dos alimentos, montagem dos kits de lanches, transporte e entrega nos locais dos eventos, além do manuseio e distribuição dos alimentos no local, seguindo todas as normas de higiene e boa prática alimentar.</w:t>
      </w:r>
    </w:p>
    <w:p w14:paraId="33C55D02" w14:textId="77777777" w:rsidR="009B5DCB" w:rsidRDefault="00000000">
      <w:r>
        <w:t>Tolerância Técnica: É permitida uma tolerância de 5% na variação quantitativa dos alimentos fornecidos, mas não na qualidade que deve atender 100% das especificações técnicas definidas inclusive com apresentação de laudos.</w:t>
      </w:r>
    </w:p>
    <w:p w14:paraId="358DEAEC" w14:textId="77777777" w:rsidR="009B5DCB" w:rsidRDefault="00000000">
      <w:r>
        <w:t>Materiais Sustentáveis e Logística Reversa: Será incentivado o uso de materiais biodegradáveis ou recicláveis para a embalagem dos alimentos, a fim de reduzir o impacto ambiental associado ao descarte de materiais plásticos usados habitualmente em serviços de buffet.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O cronograma específico será definido conforme o calendário de eventos de cada secretaria envolvida, devendo o fornecedor demonstrar flexibilidade e capacidade de adaptação a possíveis alterações de datas e horários.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Experiências anteriores incluem o fornecimento para outros municípios e entidades governamentais, que resultaram em melhoria da percepção do público quanto à qualidade do atendimento durante eventos, favorecendo a imagem institucional.</w:t>
      </w:r>
    </w:p>
    <w:p w14:paraId="3923C4DD" w14:textId="77777777" w:rsidR="009B5DCB" w:rsidRDefault="00000000">
      <w:r>
        <w:t>Certificações Exigidas: O fornecedor deverá possuir certificações que atestem suas boas práticas de fabricação, incluindo, mas não limitado a, certificação da ANVISA.</w:t>
      </w:r>
    </w:p>
    <w:p w14:paraId="2C441233" w14:textId="77777777" w:rsidR="009B5DCB" w:rsidRDefault="00000000">
      <w:r>
        <w:t>PGR e PCMSO: Será exigida a apresentação de Programas de Gerenciamento de Riscos e Programas de Controle Médico de Saúde Ocupacional atualizados, certificando a segurança e saúde dos trabalhadores envolvidos.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O critério de julgamento será do tipo 'Menor Preço', em que será considerado vencedor o fornecedor que propuser o menor preço global e atender todas as especificações técnicas.</w:t>
      </w:r>
    </w:p>
    <w:p w14:paraId="5F36B211" w14:textId="77777777" w:rsidR="009B5DCB" w:rsidRDefault="00000000">
      <w:r>
        <w:t>Garantia de Qualidade: Será exigido do fornecedor o compromisso com a garantia de qualidade dos alimentos entregues, incluindo a possibilidade de realização de testes randomizados por amostragem durante o contrato.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Haverá um painel de acompanhamento e fiscalização contendo representantes das Secretarias participantes, responsáveis por monitorar a execução contratual e a aderência aos padrões estipulados.</w:t>
      </w:r>
    </w:p>
    <w:p w14:paraId="517675B6" w14:textId="77777777" w:rsidR="009B5DCB" w:rsidRDefault="00000000">
      <w:r>
        <w:t>KPIs Operacionais: Os KPIs incluirão a satisfação do usuário, pontualidade na entrega, qualidade dos insumos, número de reclamações e feedback positivo em pesquisas e questionários aplicados durante e após os eventos.</w:t>
      </w:r>
    </w:p>
    <w:p w14:paraId="488E950B" w14:textId="77777777" w:rsidR="009B5DCB" w:rsidRDefault="00000000">
      <w:r>
        <w:t>Designação Formal: O fiscal do contrato será formalmente designado pela autoridade competente da Secretaria de Administração antes do início da execução do contrato, assegurando que todas as cláusulas contratuais sejam cumpridas.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A validação dos KPIs será realizada mediante relatórios mensais fornecidos pelo contratado e avaliações periódicas realizadas pelo painel de fiscalização.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As penalidades para inadimplemento incluirão multas, suspensão temporária de participar em licitações e impedimento de licitar com a União, conforme Lei nº 14.133/2021, dependendo da gravidade da falha.</w:t>
      </w:r>
    </w:p>
    <w:p w14:paraId="483EF825" w14:textId="77777777" w:rsidR="009B5DCB" w:rsidRDefault="00000000">
      <w:r>
        <w:t>Alertas IA LUX: Serão integrados sistemas de IA para monitoramento em tempo real do cumprimento dos prazos e da qualidade dos insumos, emitindo alertas automáticos em casos de desvios.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Os anexos incluirão modelos dos itens de fornecimento, certidões negativas de débitos, declarações de cumprimento de normas sanitárias e evidências de capacidade técnica.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Resumo do projeto, objetivos e expectativas de resultados serão disponibilizados no Portal da Transparência, incluindo todos os documentos contratuais e atualizações periódicas sobre o andamento das entregas.</w:t>
      </w:r>
    </w:p>
    <w:p w14:paraId="6CAAB3F7" w14:textId="77777777" w:rsidR="009B5DCB" w:rsidRDefault="00000000">
      <w:r>
        <w:t>FAQ Jurídico: O FAQ jurídico conterá perguntas comuns sobre o processo de contratação, direitos e obrigações do fornecedor e da administração pública, além de informações sobre como reportar irregularidades.</w:t>
      </w:r>
    </w:p>
    <w:p w14:paraId="6BC6F174" w14:textId="77777777" w:rsidR="009B5DCB" w:rsidRDefault="00000000">
      <w:r>
        <w:t>Assinatura Digital: Assinatura digital realizada através de certificado ICP-Brasil, para garantir a integridade, autenticidade e não repúdio dos documentos assinados.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7 dias úteis após a assinatura do contrato para publicação no Portal da Transparência, conforme prazo legal de transparência ativa.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Os cidadãos poderão entrar em contato através do e-mail transparencia@municipio.gov.br, pelo telefone 0800-123-4567 ou pelo formulário eletrônico disponível no portal.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SãO SIMãO,</w:t>
      </w:r>
      <w:proofErr w:type="gramEnd"/>
      <w:r>
        <w:t xml:space="preserve"> 06 de maio de 2025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João Silva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Coordenador de Licitações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Maria Oliveira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Secretária de Administração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