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Este Termo de Referência destina-se à contratação de empresa especializada para realizar a poda, o desbaste e o arranquio de árvores em ambientes urbanos e rurais. O serviço incluirá 100 árvores de pequeno porte (até 5 metros), 100 de médio porte (entre 5 a 10 metros) e 100 de grande porte (acima de 10 metros). Os trabalhos deverão respeitar as diretrizes de segurança estabelecidas pelos órgãos competentes, incluindo o uso de EPIs e equipamentos apropriados como tesouras de poda, motosserras e guindastes, se necessário.</w:t>
      </w:r>
    </w:p>
    <w:p w14:paraId="54D3C96B" w14:textId="77777777" w:rsidR="009B5DCB" w:rsidRDefault="00000000">
      <w:r>
        <w:t>Justificativa da Demanda: A contratação deste serviço é essencial para manutenção da segurança, estética e saúde do arvoredo nos espaços públicos e privados do município. Árvores mal tratadas ou em locais inadequados podem causar acidentes ou interferir em infraestruturas urbanas, como redes elétricas e construções. A execução regular desses serviços previne tais problemas, mantendo o equilíbrio ambiental e a segurança pública.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será realizada com fundamento na Lei nº 14.133/2021 e nas diretrizes nacionais para conservação e manejo de arvoredo urbano. A competência para poda e remoção envolve consultas e autorizações ambientais conforme legislação aplicável.</w:t>
      </w:r>
    </w:p>
    <w:p w14:paraId="45146ED4" w14:textId="77777777" w:rsidR="009B5DCB" w:rsidRDefault="00000000">
      <w:r>
        <w:t>Normas Aplicáveis: Aplicam-se a este Termo o Código Florestal Brasileiro (Lei 12.651/2012), as resoluções do CONAMA e normativas locais em vigor que disciplinam as atividades de manejo arbóreo, bem como normas técnicas específicas da ABNT para poda e remoção de árvores.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 execução dos serviços será realizada em etapas: 1) Avaliação técnica das árvores e planejamento das ações; 2) Mobilização de equipamentos e equipes; 3) Poda, desbaste ou arranquio conforme necessidade técnica identificada; 4) Remoção e descarte adequado dos resíduos gerados pela atividade.</w:t>
      </w:r>
    </w:p>
    <w:p w14:paraId="33C55D02" w14:textId="77777777" w:rsidR="009B5DCB" w:rsidRDefault="00000000">
      <w:r>
        <w:t>Tolerância Técnica: Será admitida uma tolerância de 5% na quantidade de árvores a ser tratada para mais ou para menos, considerando possíveis variações por óbito natural ou erro no diagnóstico inicial do porte da árvore.</w:t>
      </w:r>
    </w:p>
    <w:p w14:paraId="358DEAEC" w14:textId="77777777" w:rsidR="009B5DCB" w:rsidRDefault="00000000">
      <w:r>
        <w:t>Materiais Sustentáveis e Logística Reversa: Deverão ser utilizados materiais e insumos sustentáveis no processo, como lubrificantes biodegradáveis para as máquinas e equipamentos, e sacos de coleta de resíduos recicláveis ou biodegradáveis.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detalhado será elaborado post-contratação, mas estima-se um tempo de execução de 6 meses para a conclusão dos serviços, distribuídos conforme a necessidade e urgência das intervenções.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Será requerido que a empresa contratada possua experiência comprovada em serviços similares, com pelo menos 5 contratos similares executados nos últimos 3 anos.</w:t>
      </w:r>
    </w:p>
    <w:p w14:paraId="3923C4DD" w14:textId="77777777" w:rsidR="009B5DCB" w:rsidRDefault="00000000">
      <w:r>
        <w:t>Certificações Exigidas: A empresa deve possuir certificações específicas como ISO 14001 (Gestão Ambiental) e OHSAS 18001 (Segurança e Saúde Ocupacional), que atestem sua capacidade técnica e operacional na execução de manejo arbóreo.</w:t>
      </w:r>
    </w:p>
    <w:p w14:paraId="2C441233" w14:textId="77777777" w:rsidR="009B5DCB" w:rsidRDefault="00000000">
      <w:r>
        <w:t>PGR e PCMSO: A empresa deverá apresentar um Plano de Gerenciamento de Riscos (PGR) e um Programa de Controle Médico de Saúde Ocupacional (PCMSO), compatíveis com as atividades a serem desempenhadas.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será de técnica e preço, privilegiando propostas que apresentem a melhor técnica compatível com a execução eficaz e segura, junto ao melhor custo.</w:t>
      </w:r>
    </w:p>
    <w:p w14:paraId="5F36B211" w14:textId="77777777" w:rsidR="009B5DCB" w:rsidRDefault="00000000">
      <w:r>
        <w:t>Garantia de Qualidade: Será exigida garantia mínima de 90 dias após a execução de cada serviço, período no qual quaisquer falhas ou danos relacionados à má execução deverão ser corrigidos pela contratada sem custos adicionais.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Um painel de fiscalização, composto por servidores técnicos da administração pública e um biólogo, será responsável pela supervisão e conformidade dos serviços prestados.</w:t>
      </w:r>
    </w:p>
    <w:p w14:paraId="517675B6" w14:textId="77777777" w:rsidR="009B5DCB" w:rsidRDefault="00000000">
      <w:r>
        <w:t>KPIs Operacionais: Serão definidos KPIs operacionais que incluem percentual de cumprimento do cronograma, quantidade de resíduos corretamente descartados e satisfação da comunidade local com os trabalhos executados.</w:t>
      </w:r>
    </w:p>
    <w:p w14:paraId="488E950B" w14:textId="77777777" w:rsidR="009B5DCB" w:rsidRDefault="00000000">
      <w:r>
        <w:t>Designação Formal: O fiscal do contrato será formalmente designado pelo Diretor de Urbanismo do município, tendo este plenos poderes para atuar na supervisão do contrato.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através de relatórios mensais fornecidos pela contratada e verificações de campo realizadas pelo painel de fiscalização.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por atraso, má execução ou não cumprimento dos termos contratuais incluirão multas, suspensão temporária de participação em licitações e, em casos graves, rescisão unilateral do contrato.</w:t>
      </w:r>
    </w:p>
    <w:p w14:paraId="483EF825" w14:textId="77777777" w:rsidR="009B5DCB" w:rsidRDefault="00000000">
      <w:r>
        <w:t>Alertas IA LUX: Serão utilizados sistemas de IA para monitoramento e alertas de desvios no cronograma e qualidade, garantindo uma resposta rápida a possíveis inconformidades.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Anexos incluirão certificações da empresa, comprovação de experiência, proposta técnica detalhada, PGR e PCMSO atualizados, e comprovante de regularidade fiscal e trabalhista.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todos os documentos decorrentes serão publicados no Portal da Transparência, garantindo o acesso público a todas as informações relevantes sobre o processo e sua execução.</w:t>
      </w:r>
    </w:p>
    <w:p w14:paraId="6CAAB3F7" w14:textId="77777777" w:rsidR="009B5DCB" w:rsidRDefault="00000000">
      <w:r>
        <w:t>FAQ Jurídico: Um FAQ jurídico será elaborado para esclarecer dúvidas frequentes sobre o processo de contratação e execução, disponível no Portal da Transparência e no sítio eletrônico da prefeitura.</w:t>
      </w:r>
    </w:p>
    <w:p w14:paraId="6BC6F174" w14:textId="77777777" w:rsidR="009B5DCB" w:rsidRDefault="00000000">
      <w:r>
        <w:t>Assinatura Digital: As assinaturas necessárias na contratação deverão ser realizadas digitalmente usando certificados ICP-Brasil, garantindo a autenticidade e integridade dos documentos.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contrato, uma vez firmado, deverá ser publicado no Portal da Transparência em até 5 dias úteis, em conformidade com a legislação vigente sobre transparência e acesso à informação.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contato para dúvidas e mais informações estará disponível pelo e-mail [emailprotected], pelo telefone (xx) xxxx-xxxx, ou por formulário eletrônico no sítio da prefeitura.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Engenheiro Ambiental Carlos Souza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Diretor de Gestão Ambiental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Dra. Maria Oliveira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Municipal de Meio Ambiente e Urbanismo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