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deste Termo de Referência é a contratação de serviços especializados em poda e manutenção de árvores urbanas nas áreas públicas municipais, envolvendo a poda de segurança, poda de formação, remoção de partes danificadas ou doentes e destinação final dos resíduos conforme legislação ambiental vigente. O serviço deve ser realizado por pessoal qualificado, com equipamentos adequados e respeitando todas as normas de segurança aplicáveis.</w:t>
      </w:r>
    </w:p>
    <w:p w14:paraId="54D3C96B" w14:textId="77777777" w:rsidR="009B5DCB" w:rsidRDefault="00000000">
      <w:r>
        <w:t>Justificativa da Demanda: A demanda por poda e manutenção de árvores justifica-se pela necessidade de manter o equilíbrio ecológico, garantir a segurança dos cidadãos e preservar o patrimônio público urbano. Árvores mal cuidadas podem representar riscos de quedas de galhos, obstrução de vias e danos a infraestruturas, requerendo intervenções periódicas para prevenção de acidentes e manutenção da estética urbana.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Este Termo de Referência está fundamentado na Lei nº 14.133/2021, que regula as licitações e contratos administrativos específicos para a administração pública, e na IN SEGES nº 5/2017, que dispõe sobre as regras e diretrizes para a elaboração de termo de referência ou projeto básico.</w:t>
      </w:r>
    </w:p>
    <w:p w14:paraId="45146ED4" w14:textId="77777777" w:rsidR="009B5DCB" w:rsidRDefault="00000000">
      <w:r>
        <w:t>Normas Aplicáveis: As normas de segurança no trabalho em altura, NR35, e as diretrizes do CONAMA para poda e remoção de árvores em áreas urbanas são aplicáveis. Também são relevantes as normas técnicas ABNT específicas para poda de árvores (ABNT NBR 16246-1:2014).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incluem: 1. Inspeção inicial para avaliação das condições das árvores e definição do tipo de poda; 2. Preparação da área de trabalho, garantindo a segurança do espaço; 3. Execução da poda utilizando equipamentos adequados; 4. Remoção e transporte dos resíduos para locais de descarte autorizados; 5. Laudo técnico final da intervenção.</w:t>
      </w:r>
    </w:p>
    <w:p w14:paraId="33C55D02" w14:textId="77777777" w:rsidR="009B5DCB" w:rsidRDefault="00000000">
      <w:r>
        <w:t>Tolerância Técnica: Poda deve seguir especificações técnicas detalhadas no projeto básico e tolerar variações de até 5% no volume total de galhos cortados, conforme avaliação de risco e necessidade prescrita pelo técnico responsável, sem comprometer a saúde e a estrutura das árvores.</w:t>
      </w:r>
    </w:p>
    <w:p w14:paraId="358DEAEC" w14:textId="77777777" w:rsidR="009B5DCB" w:rsidRDefault="00000000">
      <w:r>
        <w:t>Materiais Sustentáveis e Logística Reversa: Utilizar equipamentos e ferramentas com selo de eficiência energética, e veículos para transporte dos resíduos com baixa emissão de poluentes. Priorizar materiais biodegradáveis para amarração e proteção.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prevê a execução dos serviços ao longo de 180 dias a partir da data de assinatura do contrato, com revisões quinzenais e relatórios mensais de progresso.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Serviços similares foram executados pela empresa XYZ Serviços Urbanos Ltda. em outras municipalidades com resultados satisfatórios, conforme relatórios de desempenho disponíveis para consulta.</w:t>
      </w:r>
    </w:p>
    <w:p w14:paraId="3923C4DD" w14:textId="77777777" w:rsidR="009B5DCB" w:rsidRDefault="00000000">
      <w:r>
        <w:t>Certificações Exigidas: A empresa contratada deve possuir certificação ISO 9001 para gestão de qualidade e ISO 14001 para gestão ambiental, bem como estar em dia com todas as certidões negativas de débitos trabalhistas e tributários.</w:t>
      </w:r>
    </w:p>
    <w:p w14:paraId="2C441233" w14:textId="77777777" w:rsidR="009B5DCB" w:rsidRDefault="00000000">
      <w:r>
        <w:t>PGR e PCMSO: O Programa de Gerenciamento de Riscos (PGR) e o Programa de Controle Médico de Saúde Ocupacional (PCMSO) devem estar atualizados e implícitos no processo de trabalho, garantindo a saúde e segurança dos trabalhadores.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será o de técnica e preço, considerando propostas que atendam tecnicamente ao disposto neste Termo de Referência e apresentem melhor relação custo-benefício para a administração.</w:t>
      </w:r>
    </w:p>
    <w:p w14:paraId="5F36B211" w14:textId="77777777" w:rsidR="009B5DCB" w:rsidRDefault="00000000">
      <w:r>
        <w:t>Garantia de Qualidade: Exigência de garantia de qualidade dos serviços, com um período mínimo de 90 dias após a conclusão para quaisquer retrabalhos necessários por falhas atribuíveis ao contratado.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constituído um Painel de Fiscalização, composto por três membros técnicos designados pela administração pública, responsáveis pelo acompanhamento e avaliação dos serviços prestados.</w:t>
      </w:r>
    </w:p>
    <w:p w14:paraId="517675B6" w14:textId="77777777" w:rsidR="009B5DCB" w:rsidRDefault="00000000">
      <w:r>
        <w:t>KPIs Operacionais: KPIs incluem: Número de árvores podadas por dia, percentual de galhos removidos por árvore sem dano, tempo médio de execução por árvore, e índice de satisfação dos usuários do serviço.</w:t>
      </w:r>
    </w:p>
    <w:p w14:paraId="488E950B" w14:textId="77777777" w:rsidR="009B5DCB" w:rsidRDefault="00000000">
      <w:r>
        <w:t>Designação Formal: O fiscal do contrato será formalmente designado por ato oficial do Diretor do Departamento de Serviços Urbanos, sendo responsável por toda comunicação e verificação dos serviços prestados.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Os KPIs serão validados através de relatórios de progresso semanais fornecidos pelo contratado e verificados pelo fiscal designado pelo Painel de Fiscalização.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incluirão multa de até 10% sobre o valor do contrato por inadimplemento das cláusulas contratuais, suspensão temporária de participação em licitações e impedimento de contratar com a União por até 2 anos.</w:t>
      </w:r>
    </w:p>
    <w:p w14:paraId="483EF825" w14:textId="77777777" w:rsidR="009B5DCB" w:rsidRDefault="00000000">
      <w:r>
        <w:t>Alertas IA LUX: Sistema de alertas via IA para detecção precoce de não conformidades no processo de execução, integrado com os sistemas de gestão da qualidade e ambiental.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Anexos incluem: i) Projeto básico com especificações detalhadas, ii) Comprovação de qualificação técnica e legal da empresa, iii) Relatórios de execução similares.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documento e todos os procedimentos nele contidos são públicos e disponibilizados no Portal da Transparência para consulta por qualquer cidadão, a fim de garantir a transparência e o direito à informação.</w:t>
      </w:r>
    </w:p>
    <w:p w14:paraId="6CAAB3F7" w14:textId="77777777" w:rsidR="009B5DCB" w:rsidRDefault="00000000">
      <w:r>
        <w:t>FAQ Jurídico: FAQ incluirá perguntas comuns sobre o processo de licitação, critérios de julgamento e direitos e deveres tanto do contratante quanto do contratado.</w:t>
      </w:r>
    </w:p>
    <w:p w14:paraId="6BC6F174" w14:textId="77777777" w:rsidR="009B5DCB" w:rsidRDefault="00000000">
      <w:r>
        <w:t>Assinatura Digital: A assinatura do contrato deve ser realizada digitalmente utilizando certificado ICP-Brasil, garantindo a integridade e autenticidade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Canal de atendimento ao cidadão disponível através do e-mail transparencia@municipio.gov.br, telefone 0800-123-4567 ou pelo formulário eletrônico no site da Prefeitura.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Pereira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Agrônomo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das Graças Silva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do Departamento de Serviços Urbanos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