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Ituverava-SP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João José de Paula, 776 – Ituverava – SP – CEP: 14500-000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Ituverava-SP, 06/05/2025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