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Secretaria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Obras Públicas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Civil João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execução de obras de pavimentação asfáltica em vias urbanas do município, incluindo drenagem pluvial e sinalização viária.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próprios do município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Exemplo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Necessidade de melhoria da infraestrutura viária para garantir a segurança e mobilidade dos cidadãos, atendendo demanda da população local.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Contribuir para o cumprimento das metas de infraestrutura estabelecidas no Plano Diretor Municipal.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Menor preço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Priorização da obra devido ao estado crítico das vias e ao impacto direto na qualidade de vida dos munícipes.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Execução de pavimentação asfáltica em 5 km de vias, instalação de 500 m de galerias pluviais e pintura de sinalização horizontal.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Atendimento às normas técnicas ABNT para pavimentação asfáltica e drenagem urbana.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Exposição a agentes químicos na aplicação do asfalto, riscos de acidentes em obras viárias.</w:t>
      </w:r>
    </w:p>
    <w:p w14:paraId="27439429" w14:textId="77777777" w:rsidR="00837796" w:rsidRDefault="00000000">
      <w:r>
        <w:lastRenderedPageBreak/>
        <w:t>Normas: Não cumprimento das normas de segurança do trabalho e de qualidade na execução das obras.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Necessidade de controle rigoroso para mitigar os riscos ocupacionais e de conformidade.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Realização de manutenção paliativa nas vias afetadas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empresa para estudo de viabilidade de novas rotas alternativas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As alternativas foram descartadas devido à urgência na melhoria das vias existentes.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 na execução da obra devido a questões burocráticas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contingência prevendo antecipadamente possíveis entraves administrativos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90 dias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Parcelado em 3 vezes, de acordo com o avanço físico da obra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180 dias a partir da assinatura do contrato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Pagamento mediante medições e apresentação de documentação fiscal conforme legislação vigente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Objetivo de Desenvolvimento Sustentável 9 - Indústria, Inovação e Infraestrutura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Utilização de materiais reciclados na pavimentação asfáltica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duplicidade de propostas por meio de sistema informatizado de licitações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dos documentos e das propostas pela Comissão de Licitação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processo licitatório será publicado no site oficial da Prefeitura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com perguntas frequentes sobre a licitação estará disponível para consulta pública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mínimo de 5 dias úteis entre a publicação do edital e a abertura das propostas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conforme Lei nº 14.063/2020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EXEMPLO,</w:t>
      </w:r>
      <w:proofErr w:type="gramEnd"/>
      <w:r>
        <w:t xml:space="preserve"> vinte e dois de março de dois mil e vinte e dois</w:t>
      </w:r>
    </w:p>
    <w:p w14:paraId="57248593" w14:textId="77777777" w:rsidR="00837796" w:rsidRDefault="00000000">
      <w:r>
        <w:t>Maria da Silva</w:t>
      </w:r>
    </w:p>
    <w:p w14:paraId="2F254161" w14:textId="77777777" w:rsidR="00837796" w:rsidRDefault="00000000">
      <w:r>
        <w:t>Prefeita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das Flores, 123 – Exemplo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Exemplo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