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Secretaria de Planejamento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Projetos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Civil João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para execução de obras de infraestrutura viária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Exemplo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Necessidade de melhoria na mobilidade urbana da região X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Redução do tempo de deslocamento em 30%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Menor preço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Garantir a economicidade dos recursos públicos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Recapeamento de 5km de vias, construção de calçadas e sinalização viária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Atendimento às normas ABNT de pavimentação e acessibilidade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Exposição a agentes químicos e físicos durante a execução das obras</w:t>
      </w:r>
    </w:p>
    <w:p w14:paraId="27439429" w14:textId="77777777" w:rsidR="00837796" w:rsidRDefault="00000000">
      <w:r>
        <w:lastRenderedPageBreak/>
        <w:t>Normas: Riscos de descumprimento de normas ambientais e de segurança do trabalho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Necessidade de adoção de medidas preventivas para mitigar os riscos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Contratação de empresa com menor preço, porém sem experiência com obras viárias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empresa com maior preço, mas com vasta experiência em obras de infraestrutura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Optou-se pela alternativa B devido à relevância da expertise da empresa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 na execução das obras devido a imprevistos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contingência previamente elaborado para minimizar impactos de possíveis atrasos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120 dias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Parcelado em 4 vezes, de acordo com o cronograma de execução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180 dias a partir da assinatura do contrato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Pagamento mediante medições mensais e comprovação da execução dos serviços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9 - Indústria, Inovação e Infraestrutura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Utilização de materiais recicláveis na sinalização viária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duplicidade de demandas para evitar sobreposição de ações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técnica realizada pela equipe de engenharia da secretaria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da demanda será publicado no site oficial da prefeitura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com perguntas frequentes sobre a contratação de obras públicas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de transparência de 15 dias antes da abertura da licitação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conforme Lei nº 14.063/2020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EXEMPLO,</w:t>
      </w:r>
      <w:proofErr w:type="gramEnd"/>
      <w:r>
        <w:t xml:space="preserve"> Vinte e cinco de agosto de dois mil e vinte e um</w:t>
      </w:r>
    </w:p>
    <w:p w14:paraId="57248593" w14:textId="77777777" w:rsidR="00837796" w:rsidRDefault="00000000">
      <w:r>
        <w:t>Maria da Silva</w:t>
      </w:r>
    </w:p>
    <w:p w14:paraId="2F254161" w14:textId="77777777" w:rsidR="00837796" w:rsidRDefault="00000000">
      <w:r>
        <w:t>Prefeita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Av. Principal, nº 123, Centro – Exemplo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Exemplo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