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Setor de Compras Públicas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Aquisições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Fulano de Tal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Aquisição de equipamentos de informática para modernização do parque tecnológico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R$ 350.000,00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destinado à modernização tecnológica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 de Tecnologia da Informação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Necessidade de atualização dos equipamentos para garantir eficiência e segurança nas operações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Melhoria da eficiência operacional em 20%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Melhor custo-benefício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Equipamentos atendem às necessidades estratégicas da organização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Fornecimento e instalação dos equipamentos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Compatibilidade com sistemas existentes e garantia de qualidade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Riscos ergonômicos durante instalação</w:t>
      </w:r>
    </w:p>
    <w:p w14:paraId="27439429" w14:textId="77777777" w:rsidR="00837796" w:rsidRDefault="00000000">
      <w:r>
        <w:lastRenderedPageBreak/>
        <w:t>Normas: Normas de segurança e saúde no trabalho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Medidas de prevenção e treinamento dos colaboradores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Aquisição de equipamentos de outra marca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Locação dos equipamentos necessários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aquisição direta é mais vantajosa a longo prazo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Risco de atraso na entrega dos equipamentos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contingência com fornecedor alternativo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60 dias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Parcelado em 3 vezes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12 meses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30% na assinatura do contrato, 30% na entrega e 40% após a instalação e aceitação dos equipamentos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9 - Indústria, Inovação e Infraestrutura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Priorização de equipamentos com certificação de eficiência energética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de fornecedores com registros de reclamações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dos equipamentos conforme especificações técnicas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processo de aquisição disponibilizado no site institucional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com perguntas frequentes sobre a aquisição de equipamentos de informática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Prazo de 30 dias para solicitação de informações adicionais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CIDADE NOVA,</w:t>
      </w:r>
      <w:proofErr w:type="gramEnd"/>
      <w:r>
        <w:t xml:space="preserve"> Vinte e dois de setembro de dois mil e vinte e um</w:t>
      </w:r>
    </w:p>
    <w:p w14:paraId="57248593" w14:textId="77777777" w:rsidR="00837796" w:rsidRDefault="00000000">
      <w:r>
        <w:t>Beltrano de Oliveira</w:t>
      </w:r>
    </w:p>
    <w:p w14:paraId="2F254161" w14:textId="77777777" w:rsidR="00837796" w:rsidRDefault="00000000">
      <w:r>
        <w:t>Diretor de Tecnologia da Informação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Av. Principal, nº 123 - Centro – Cidade Nova – 12345-678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Cidade Nova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