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</w:t>
      </w:r>
      <w:proofErr w:type="spellStart"/>
      <w:r>
        <w:t>Requisitante</w:t>
      </w:r>
      <w:proofErr w:type="spellEnd"/>
      <w:r>
        <w:t>: Secretaria Municipal de Serviços Públicos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Departamento de Manutenção Urbana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Engenheiro Civil João da Silva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Contratação de empresa especializada para a prestação de serviços de manutenção e conservação de áreas verdes e infraestrutura urbana, compreendendo varrição e limpeza, capinação e roçagem, poda e manutenção de árvores, limpeza de praças e jardins, limpeza de bocas de lobo, coleta de resíduos e demais serviços correlatos.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R$ 350.000,00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Orçamento Municipal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Unidade de Conservação e Manutenção Urbana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Necessidade de manutenção preventiva e corretiva das áreas verdes e infraestrutura urbana para garantir a qualidade de vida da população e o bom funcionamento dos espaços públicos.</w:t>
      </w:r>
    </w:p>
    <w:p w14:paraId="5C3BEB43" w14:textId="77777777" w:rsidR="00837796" w:rsidRDefault="00000000">
      <w:r>
        <w:t xml:space="preserve">Meta de </w:t>
      </w:r>
      <w:proofErr w:type="spellStart"/>
      <w:r>
        <w:t>impacto</w:t>
      </w:r>
      <w:proofErr w:type="spellEnd"/>
      <w:r>
        <w:t>: Melhoria na qualidade ambiental e urbanística da cidade, aumento da satisfação dos munícipes com os espaços públicos.</w:t>
      </w:r>
    </w:p>
    <w:p w14:paraId="01BD5218" w14:textId="77777777" w:rsidR="00837796" w:rsidRDefault="00000000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Priorização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Matriz</w:t>
      </w:r>
      <w:proofErr w:type="spellEnd"/>
      <w:r>
        <w:rPr>
          <w:b/>
          <w:sz w:val="24"/>
        </w:rPr>
        <w:t xml:space="preserve"> GUT)</w:t>
      </w:r>
    </w:p>
    <w:p w14:paraId="570313A5" w14:textId="77777777" w:rsidR="00837796" w:rsidRDefault="00000000">
      <w:proofErr w:type="spellStart"/>
      <w:r>
        <w:t>Critério</w:t>
      </w:r>
      <w:proofErr w:type="spellEnd"/>
      <w:r>
        <w:t>: Melhor custo-benefício, capacidade técnica da empresa, experiência comprovada em serviços similares.</w:t>
      </w:r>
    </w:p>
    <w:p w14:paraId="2C15923D" w14:textId="77777777" w:rsidR="00837796" w:rsidRDefault="00000000">
      <w:proofErr w:type="spellStart"/>
      <w:r>
        <w:t>Justificativa</w:t>
      </w:r>
      <w:proofErr w:type="spellEnd"/>
      <w:r>
        <w:t xml:space="preserve"> da </w:t>
      </w:r>
      <w:proofErr w:type="spellStart"/>
      <w:r>
        <w:t>prioridade</w:t>
      </w:r>
      <w:proofErr w:type="spellEnd"/>
      <w:r>
        <w:t>: Priorização da empresa com melhor proposta técnica e econômica para garantir a eficiência na prestação dos serviços.</w:t>
      </w:r>
    </w:p>
    <w:p w14:paraId="5297EADA" w14:textId="77777777" w:rsidR="00837796" w:rsidRDefault="00000000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Execução dos serviços de manutenção e conservação de áreas verdes e infraestrutura urbana conforme especificações técnicas do edital.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Equipamentos adequados, equipe qualificada, cumprimento das normas ambientais e de segurança do trabalho.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Exposição a agentes biológicos, riscos ergonômicos, acidentes com máquinas e equipamentos.</w:t>
      </w:r>
    </w:p>
    <w:p w14:paraId="27439429" w14:textId="77777777" w:rsidR="00837796" w:rsidRDefault="00000000">
      <w:r>
        <w:lastRenderedPageBreak/>
        <w:t>Normas: Normas de segurança do trabalho, normas ambientais vigentes, legislação trabalhista.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Necessidade de identificação e mitigação dos riscos para garantir a segurança dos trabalhadores e o cumprimento da legislação vigente.</w:t>
      </w:r>
    </w:p>
    <w:p w14:paraId="64A3D429" w14:textId="77777777" w:rsidR="00837796" w:rsidRDefault="00000000">
      <w:r>
        <w:rPr>
          <w:b/>
          <w:sz w:val="24"/>
        </w:rPr>
        <w:t xml:space="preserve">6.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t>Opção</w:t>
      </w:r>
      <w:proofErr w:type="spellEnd"/>
      <w:r>
        <w:t xml:space="preserve"> A: Realizar a manutenção com equipe interna da prefeitura.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Realizar licitação para contratação de empresa especializada.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 contratação de empresa especializada foi escolhida devido à maior eficiência e qualidade dos serviços prestados.</w:t>
      </w:r>
    </w:p>
    <w:p w14:paraId="3B961330" w14:textId="77777777" w:rsidR="00837796" w:rsidRDefault="00000000">
      <w:r>
        <w:rPr>
          <w:b/>
          <w:sz w:val="24"/>
        </w:rPr>
        <w:t xml:space="preserve">7.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Risco de atraso na execução dos serviços devido a entraves burocráticos.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Plano de contingência com prazos e responsabilidades definidos para garantir a execução dentro do cronograma estabelecido.</w:t>
      </w:r>
    </w:p>
    <w:p w14:paraId="454CDB78" w14:textId="77777777" w:rsidR="00837796" w:rsidRDefault="00000000">
      <w:r>
        <w:rPr>
          <w:b/>
          <w:sz w:val="24"/>
        </w:rPr>
        <w:t xml:space="preserve">8.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12 meses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Mensal, mediante apresentação de relatórios de execução dos serviços.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24 meses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Pagamento em dia, conforme cronograma estabelecido no contrato.</w:t>
      </w:r>
    </w:p>
    <w:p w14:paraId="2524178B" w14:textId="77777777" w:rsidR="00837796" w:rsidRDefault="00000000">
      <w:r>
        <w:rPr>
          <w:b/>
          <w:sz w:val="24"/>
        </w:rPr>
        <w:t xml:space="preserve">9.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ODS 11 - Cidades e Comunidades Sustentáveis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Promoção da manutenção de áreas verdes e infraestrutura urbana de forma sustentável, com destinação adequada de resíduos e uso racional de recursos naturais.</w:t>
      </w:r>
    </w:p>
    <w:p w14:paraId="753A1640" w14:textId="77777777" w:rsidR="00837796" w:rsidRDefault="00000000">
      <w:r>
        <w:rPr>
          <w:b/>
          <w:sz w:val="24"/>
        </w:rPr>
        <w:t xml:space="preserve">10.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Verificação de duplicidade de contratações de serviços similares em outras secretarias ou departamentos.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Validação técnica dos serviços prestados pela empresa contratada.</w:t>
      </w:r>
    </w:p>
    <w:p w14:paraId="788895B8" w14:textId="77777777" w:rsidR="00837796" w:rsidRDefault="00000000">
      <w:r>
        <w:rPr>
          <w:b/>
          <w:sz w:val="24"/>
        </w:rPr>
        <w:t xml:space="preserve">11.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Resumo dos serviços contratados e valores envolvidos disponibilizado no portal da transparência.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FAQ com informações sobre a contratação e execução dos serviços disponibilizado para a população.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Prazo de 30 dias para divulgação das informações no portal da transparência após a assinatura do contrato.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77777777" w:rsidR="00837796" w:rsidRDefault="00000000">
      <w:r>
        <w:rPr>
          <w:b/>
          <w:sz w:val="24"/>
        </w:rPr>
        <w:lastRenderedPageBreak/>
        <w:t xml:space="preserve">12.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Assinatura digital</w:t>
      </w:r>
    </w:p>
    <w:p w14:paraId="7154176E" w14:textId="77777777" w:rsidR="00837796" w:rsidRDefault="00837796"/>
    <w:p w14:paraId="4213D67D" w14:textId="77777777" w:rsidR="00837796" w:rsidRDefault="00000000">
      <w:proofErr w:type="spellStart"/>
      <w:r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0E18593F" w14:textId="77777777" w:rsidR="00837796" w:rsidRDefault="00000000">
      <w:r>
        <w:t>CIDADE FICTÍCIA,</w:t>
      </w:r>
      <w:proofErr w:type="gramEnd"/>
      <w:r>
        <w:t xml:space="preserve"> vinte e dois de novembro de dois mil e vinte e um</w:t>
      </w:r>
    </w:p>
    <w:p w14:paraId="57248593" w14:textId="77777777" w:rsidR="00837796" w:rsidRDefault="00000000">
      <w:r>
        <w:t>Maria da Silva</w:t>
      </w:r>
    </w:p>
    <w:p w14:paraId="2F254161" w14:textId="77777777" w:rsidR="00837796" w:rsidRDefault="00000000">
      <w:r>
        <w:t>Secretária Municipal de Serviços Públicos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904C1" w14:textId="77777777" w:rsidR="005C6535" w:rsidRDefault="005C6535">
      <w:pPr>
        <w:spacing w:after="0" w:line="240" w:lineRule="auto"/>
      </w:pPr>
      <w:r>
        <w:separator/>
      </w:r>
    </w:p>
  </w:endnote>
  <w:endnote w:type="continuationSeparator" w:id="0">
    <w:p w14:paraId="5BFCAC85" w14:textId="77777777" w:rsidR="005C6535" w:rsidRDefault="005C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das Flores, 123 – Cidade Fictícia – 12345-678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567D9" w14:textId="77777777" w:rsidR="005C6535" w:rsidRDefault="005C6535">
      <w:pPr>
        <w:spacing w:after="0" w:line="240" w:lineRule="auto"/>
      </w:pPr>
      <w:r>
        <w:separator/>
      </w:r>
    </w:p>
  </w:footnote>
  <w:footnote w:type="continuationSeparator" w:id="0">
    <w:p w14:paraId="50768EBA" w14:textId="77777777" w:rsidR="005C6535" w:rsidRDefault="005C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70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Cidade Fictícia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324EC3"/>
    <w:rsid w:val="00326F90"/>
    <w:rsid w:val="00485523"/>
    <w:rsid w:val="005A7590"/>
    <w:rsid w:val="005C6535"/>
    <w:rsid w:val="008215A6"/>
    <w:rsid w:val="00837796"/>
    <w:rsid w:val="009C5E7B"/>
    <w:rsid w:val="00A64869"/>
    <w:rsid w:val="00AA1D8D"/>
    <w:rsid w:val="00B47730"/>
    <w:rsid w:val="00B80A55"/>
    <w:rsid w:val="00CB0664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5</cp:revision>
  <dcterms:created xsi:type="dcterms:W3CDTF">2013-12-23T23:15:00Z</dcterms:created>
  <dcterms:modified xsi:type="dcterms:W3CDTF">2025-04-29T13:27:00Z</dcterms:modified>
  <cp:category/>
</cp:coreProperties>
</file>