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2021/12345</w:t>
      </w:r>
    </w:p>
    <w:p>
      <w:pPr/>
      <w:r>
        <w:rPr/>
        <w:t xml:space="preserve">Objeto</w:t>
      </w:r>
      <w:r>
        <w:rPr/>
        <w:t xml:space="preserve">: Contratação por meio de Ata de Registro de Preços de empresa especializada para execução de serviços técnicos de manutenção elétrica predial e de equipamentos públicos</w:t>
      </w:r>
    </w:p>
    <w:p>
      <w:pPr/>
      <w:r>
        <w:rPr/>
        <w:t xml:space="preserve">Data de Início: 01/08/2021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Municipal de Infraestrutura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Análise de Riscos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na execução da manutenção elétrica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Danos materiais e interrupção no fornecimento de energia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Treinamento contínuo da equipe técnica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Manutenção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Contratação emergencial de outra empresa especializada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do Contrato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dos serviços contratados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Prejuízo financeiro e insatisfação do público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cronograma detalhado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Engenheiro de Projetos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Aplicação de multas contratuais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Setor Jurídico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Falta de qualificação técnica da equipe contratada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qualidade nos serviços prestados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Verificação de certificações e experiência da equipe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de Contratos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treinamentos específicos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Técnico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Roubo de equipamentos durante a execução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Perda patrimonial e interrupção das atividades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Implantação de medidas de segurança no local de trabalho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Segurança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Acionamento imediato da polícia e seguro patrimonial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Segurança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Alterações normativas que impactam a execução dos serviços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Necessidade de adaptação e possíveis atrasos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Monitoramento constante de legislações pertinentes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 Jurídico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Revisão e adequação dos processos internos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Gestor de Contratos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José da Silva</w:t>
      </w:r>
    </w:p>
    <w:p>
      <w:pPr/>
      <w:r>
        <w:rPr/>
        <w:t xml:space="preserve">Prefeito Municipal</w:t>
      </w:r>
    </w:p>
    <w:p>
      <w:pPr/>
      <w:r>
        <w:rPr/>
        <w:t xml:space="preserve">${data_aprovacao}</w:t>
      </w:r>
    </w:p>
    <w:sectPr>
      <w:headerReference w:type="default" r:id="rId7"/>
      <w:footerReference w:type="default" r:id="rId8"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das Obras, 123 – Cidade Modelo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60.137457044674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Cidade Modelo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28F182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A9CB938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63989A0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53027022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1107CB7B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A59D80F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68B219D9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6735662A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BD36E8B1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2025-04-27T18:56:00+00:00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