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empresa para desenvolvimento de plataforma integrada de gestão escolar e matrícula digital.</w:t>
      </w:r>
    </w:p>
    <w:p>
      <w:r>
        <w:rPr>
          <w:sz w:val="22"/>
        </w:rPr>
        <w:t>Justificativa da Demanda: Necessidade de modernizar e integrar o processo educacional do município, promovendo eficiência e transparência.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14.133/2021 – Arts. 6º, 18, 20, 22</w:t>
      </w:r>
    </w:p>
    <w:p>
      <w:r>
        <w:rPr>
          <w:sz w:val="22"/>
        </w:rPr>
        <w:t>Normas Aplicáveis: NR-01, NR-07, ISO 14001, ABNT NBR 16150, RDC Anvisa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Execução dividida em fases com entregas mensais validadas por aceites parciais.</w:t>
      </w:r>
    </w:p>
    <w:p>
      <w:r>
        <w:rPr>
          <w:sz w:val="22"/>
        </w:rPr>
        <w:t>Tolerância Técnica: Até 2% de variação nas entregas permitida.</w:t>
      </w:r>
    </w:p>
    <w:p>
      <w:r>
        <w:rPr>
          <w:sz w:val="22"/>
        </w:rPr>
        <w:t>Materiais Sustentáveis e Logística Reversa: Utilização de materiais recicláveis e adoção de logística reversa para descarte de equipamentos.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Apresentação de atestados de execução de projetos de TI de porte similar.</w:t>
      </w:r>
    </w:p>
    <w:p>
      <w:r>
        <w:rPr>
          <w:sz w:val="22"/>
        </w:rPr>
        <w:t>Certificações Exigidas: ISO 9001, ISO 14001, Certificação de execução técnica válida.</w:t>
      </w:r>
    </w:p>
    <w:p>
      <w:r>
        <w:rPr>
          <w:sz w:val="22"/>
        </w:rPr>
        <w:t>PGR e PCMSO: Apresentação obrigatória do PGR (Programa de Gerenciamento de Riscos) e PCMSO (Programa de Controle Médico de Saúde Ocupacional).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 atendendo a checklist de requisitos mínimos.</w:t>
      </w:r>
    </w:p>
    <w:p>
      <w:r>
        <w:rPr>
          <w:sz w:val="22"/>
        </w:rPr>
        <w:t>Garantia de Qualidade: Garantia técnica baseada em critérios objetivos de qualidade estabelecidos no edital.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Utilização de painel de fiscalização com integração a IA LUX para acompanhamento de performance.</w:t>
      </w:r>
    </w:p>
    <w:p>
      <w:r>
        <w:rPr>
          <w:sz w:val="22"/>
        </w:rPr>
        <w:t>KPIs Operacionais: Entrega pontual dos módulos; satisfação do usuário ≥ 90%; manutenção corretiva em até 48h.</w:t>
      </w:r>
    </w:p>
    <w:p>
      <w:r>
        <w:rPr>
          <w:sz w:val="22"/>
        </w:rPr>
        <w:t>Designação Formal: Fiscal formalmente designado, com registros e logs de acompanhamento.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Multas previstas conforme Resolução TCE-SP 45/2022 por atraso, não conformidade ou falha técnica.</w:t>
      </w:r>
    </w:p>
    <w:p>
      <w:r>
        <w:rPr>
          <w:sz w:val="22"/>
        </w:rPr>
        <w:t>Alertas IA LUX: IA LUX enviará alertas automáticos em casos de atraso ou descumprimento técnico.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DFD, ETP, Matriz de Riscos, Planilha Orçamentária, Checklist de Execução.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Resumo do projeto disponível no Portal da Transparência no prazo estabelecido.</w:t>
      </w:r>
    </w:p>
    <w:p>
      <w:r>
        <w:rPr>
          <w:sz w:val="22"/>
        </w:rPr>
        <w:t>FAQ Jurídico: Publicação de perguntas e respostas jurídicas sobre o projeto.</w:t>
      </w:r>
    </w:p>
    <w:p>
      <w:r>
        <w:rPr>
          <w:sz w:val="22"/>
        </w:rPr>
        <w:t>Assinatura Digital: ICP-Brasil ou 1Doc</w:t>
      </w:r>
    </w:p>
    <w:p>
      <w:r>
        <w:rPr>
          <w:sz w:val="22"/>
        </w:rPr>
        <w:t>Prazo de Publicação: 5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40px;height:4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