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especializada para execução de reforma e ampliação de escola municipal, incluindo serviços de demolição, alvenaria, instalações elétricas e hidrossanitárias, revestimentos, pintura, cobertura, esquadrias, entre outros, de acordo com projeto arquitetônico e planilha orçamentária.</w:t>
      </w:r>
    </w:p>
    <w:p>
      <w:r>
        <w:rPr>
          <w:sz w:val="22"/>
        </w:rPr>
        <w:t>Justificativa da Demanda: A reforma e ampliação da escola municipal se faz necessária para atender ao aumento da demanda de alunos na região, proporcionando um ambiente adequado e seguro para o desenvolvimento educacional.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de Licitações e Contratos (Lei nº 8.666/93)</w:t>
      </w:r>
    </w:p>
    <w:p>
      <w:r>
        <w:rPr>
          <w:sz w:val="22"/>
        </w:rPr>
        <w:t>Normas Aplicáveis: Normas ABNT de construção civil, legislação ambiental e de segurança do trabalho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1. Elaboração do cronograma de execução; 2. Mobilização e preparação do canteiro de obras; 3. Execução dos serviços conforme projeto e especificações técnicas; 4. Recebimento provisório e definitivo da obra.</w:t>
      </w:r>
    </w:p>
    <w:p>
      <w:r>
        <w:rPr>
          <w:sz w:val="22"/>
        </w:rPr>
        <w:t>Tolerância Técnica: Tolerância de até 5% nos quantitativos de materiais e serviços previstos na planilha orçamentária.</w:t>
      </w:r>
    </w:p>
    <w:p>
      <w:r>
        <w:rPr>
          <w:sz w:val="22"/>
        </w:rPr>
        <w:t>Materiais Sustentáveis e Logística Reversa: Priorização de materiais certificados com selos de sustentabilidade e baixo impacto ambiental.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empresa licitante deverá comprovar experiência prévia em execução de obras similares, por meio de atestados técnicos.</w:t>
      </w:r>
    </w:p>
    <w:p>
      <w:r>
        <w:rPr>
          <w:sz w:val="22"/>
        </w:rPr>
        <w:t>Certificações Exigidas: Certificação ISO 9001 e PBQP-H são requisitos obrigatórios para participação na licitação.</w:t>
      </w:r>
    </w:p>
    <w:p>
      <w:r>
        <w:rPr>
          <w:sz w:val="22"/>
        </w:rPr>
        <w:t>PGR e PCMSO: Programa de Gerenciamento de Riscos (PGR) e Programa de Controle Médico de Saúde Ocupacional (PCMSO) deverão ser elaborados e implementados durante a execução da obra.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</w:t>
      </w:r>
    </w:p>
    <w:p>
      <w:r>
        <w:rPr>
          <w:sz w:val="22"/>
        </w:rPr>
        <w:t>Garantia de Qualidade: Garantia de qualidade dos serviços prestados por um período de 5 anos a contar do recebimento definitivo da obra.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constituído um painel de fiscalização composto por representantes da administração pública e da sociedade civil, para acompanhamento e fiscalização da execução da obra.</w:t>
      </w:r>
    </w:p>
    <w:p>
      <w:r>
        <w:rPr>
          <w:sz w:val="22"/>
        </w:rPr>
        <w:t>KPIs Operacionais: Serão estabelecidos KPIs operacionais para monitorar o andamento da obra, com indicadores de prazo, qualidade e custo.</w:t>
      </w:r>
    </w:p>
    <w:p>
      <w:r>
        <w:rPr>
          <w:sz w:val="22"/>
        </w:rPr>
        <w:t>Designação Formal: Será designado um fiscal de contrato para acompanhar e fiscalizar a execução dos serviços, com poderes para aplicar penalidades em caso de descumprimento contratual.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Estão previstas penalidades em caso de atraso na execução da obra, uso de materiais inadequados, entre outras infrações, conforme previsto em contrato.</w:t>
      </w:r>
    </w:p>
    <w:p>
      <w:r>
        <w:rPr>
          <w:sz w:val="22"/>
        </w:rPr>
        <w:t>Alertas IA LUX: Serão utilizadas ferramentas de inteligência artificial para monitorar o andamento da obra e emitir alertas em caso de desvios significativos.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Certidões negativas de débitos fiscais, documentos de habilitação jurídica e técnica, proposta comercial, entre outros documentos exigidos no edital.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Um resumo da licitação será disponibilizado no portal da transparência, contendo informações sobre objeto, valor, prazo e empresa vencedora.</w:t>
      </w:r>
    </w:p>
    <w:p>
      <w:r>
        <w:rPr>
          <w:sz w:val="22"/>
        </w:rPr>
        <w:t>FAQ Jurídico: Será disponibilizado um FAQ jurídico com as principais dúvidas e respostas sobre o processo licitatório, visando esclarecer os participantes.</w:t>
      </w:r>
    </w:p>
    <w:p>
      <w:r>
        <w:rPr>
          <w:sz w:val="22"/>
        </w:rPr>
        <w:t>Assinatura Digital: A assinatura do contrato deverá ser feita em formato digital, conforme previsto na legislação vigente.</w:t>
      </w:r>
    </w:p>
    <w:p>
      <w:r>
        <w:rPr>
          <w:sz w:val="22"/>
        </w:rPr>
        <w:t>Prazo de Publicação: O prazo de publicação do edital de licitação será de 30 dias antes da data de abertura dos envelopes.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das Construções, 123 – Cidade Modelo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Cidade Modelo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