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por meio de Ata de Registro de Preços de empresa especializada para execução de serviços técnicos de manutenção elétrica predial e de equipamentos públicos, conforme especificações técnicas detalhadas em anexo.</w:t>
      </w:r>
    </w:p>
    <w:p>
      <w:r>
        <w:rPr>
          <w:sz w:val="22"/>
        </w:rPr>
        <w:t>Justificativa da Demanda: A contratação se faz necessária para garantir a segurança e o funcionamento adequado das instalações elétricas prediais e dos equipamentos públicos, visando a manutenção preventiva e corretiva, bem como o cumprimento das normas de segurança estabelecidas.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nº XXXX/XXXX, que dispõe sobre as contratações públicas e a utilização do sistema de registro de preços.</w:t>
      </w:r>
    </w:p>
    <w:p>
      <w:r>
        <w:rPr>
          <w:sz w:val="22"/>
        </w:rPr>
        <w:t>Normas Aplicáveis: Norma ABNT XXXX/XXXX para manutenção elétrica predial e normas regulamentadoras pertinentes.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A execução dos serviços será dividida em etapas de planejamento, execução e monitoramento, conforme cronograma a ser estabelecido em conjunto com a contratada.</w:t>
      </w:r>
    </w:p>
    <w:p>
      <w:r>
        <w:rPr>
          <w:sz w:val="22"/>
        </w:rPr>
        <w:t>Tolerância Técnica: Tolerância técnica de XX% para variações nos serviços prestados, conforme critérios estabelecidos em contrato.</w:t>
      </w:r>
    </w:p>
    <w:p>
      <w:r>
        <w:rPr>
          <w:sz w:val="22"/>
        </w:rPr>
        <w:t>Materiais Sustentáveis e Logística Reversa: Priorização do uso de materiais sustentáveis e ecologicamente corretos, quando viável e economicamente viável.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 empresa contratada deverá comprovar experiência prévia na execução de serviços similares, por meio de atestados técnicos e/ou certidões.</w:t>
      </w:r>
    </w:p>
    <w:p>
      <w:r>
        <w:rPr>
          <w:sz w:val="22"/>
        </w:rPr>
        <w:t>Certificações Exigidas: Certificações necessárias para a prestação dos serviços, tais como NR-10 e NR-35, conforme exigências legais e normativas.</w:t>
      </w:r>
    </w:p>
    <w:p>
      <w:r>
        <w:rPr>
          <w:sz w:val="22"/>
        </w:rPr>
        <w:t>PGR e PCMSO: Programa de Gerenciamento de Riscos (PGR) e Programa de Controle Médico de Saúde Ocupacional (PCMSO) deverão ser elaborados e implementados pela contratada.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O critério de julgamento para a seleção da empresa será o menor preço global, considerando a proposta mais vantajosa para a administração pública.</w:t>
      </w:r>
    </w:p>
    <w:p>
      <w:r>
        <w:rPr>
          <w:sz w:val="22"/>
        </w:rPr>
        <w:t>Garantia de Qualidade: Garantia de qualidade dos serviços prestados, com prazo mínimo de XX meses a partir da conclusão da execução dos serviços.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Será instituído um painel de fiscalização composto por representantes da contratante e da contratada, responsáveis por acompanhar e fiscalizar a execução dos serviços.</w:t>
      </w:r>
    </w:p>
    <w:p>
      <w:r>
        <w:rPr>
          <w:sz w:val="22"/>
        </w:rPr>
        <w:t>KPIs Operacionais: Serão estabelecidos indicadores-chave de desempenho (KPIs) operacionais para avaliação da qualidade e eficiência dos serviços prestados.</w:t>
      </w:r>
    </w:p>
    <w:p>
      <w:r>
        <w:rPr>
          <w:sz w:val="22"/>
        </w:rPr>
        <w:t>Designação Formal: Será designado formalmente um fiscal do contrato, responsável por acompanhar e fiscalizar a execução dos serviços, conforme previsto em lei.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Estabelecimento de penalidades em caso de descumprimento das obrigações contratuais, conforme previsto em lei e no contrato.</w:t>
      </w:r>
    </w:p>
    <w:p>
      <w:r>
        <w:rPr>
          <w:sz w:val="22"/>
        </w:rPr>
        <w:t>Alertas IA LUX: Alertas de inteligência artificial (IA) poderão ser utilizados para monitoramento e melhoria contínua dos serviços prestados.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Anexos obrigatórios: cronograma de execução, planilha de preços unitários, declarações da contratada, entre outros documentos exigidos em edital.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Resumo dos principais pontos do contrato para divulgação e transparência junto à sociedade, conforme exigências legais.</w:t>
      </w:r>
    </w:p>
    <w:p>
      <w:r>
        <w:rPr>
          <w:sz w:val="22"/>
        </w:rPr>
        <w:t>FAQ Jurídico: FAQ jurídico com perguntas e respostas frequentes sobre a contratação, visando esclarecer eventuais dúvidas dos interessados.</w:t>
      </w:r>
    </w:p>
    <w:p>
      <w:r>
        <w:rPr>
          <w:sz w:val="22"/>
        </w:rPr>
        <w:t>Assinatura Digital: A assinatura do contrato deverá ser realizada em formato eletrônico, conforme legislação vigente sobre assinaturas digitais.</w:t>
      </w:r>
    </w:p>
    <w:p>
      <w:r>
        <w:rPr>
          <w:sz w:val="22"/>
        </w:rPr>
        <w:t>Prazo de Publicação: O prazo de publicação do Termo de Referência será de XX dias a partir da data de aprovação pela autoridade competente.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XXXX, nº XX – Cidade YYY – XXXXX-XXX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0.137457044674px;height:70px" stroked="f" filled="f">
          <v:imagedata r:id="rId1" o:title=""/>
        </v:shape>
      </w:pict>
      <w:t/>
      <w:br/>
      <w:br/>
    </w:r>
    <w:r>
      <w:rPr>
        <w:b/>
      </w:rPr>
      <w:t>PREFEITURA MUNICIPAL DE Cidade YYY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