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O objeto deste Termo de Referência consiste na contratação de serviços especializados para &lt;descrição técnica detalhada&gt;.</w:t>
      </w:r>
    </w:p>
    <w:p>
      <w:r>
        <w:rPr>
          <w:sz w:val="22"/>
        </w:rPr>
        <w:t>Justificativa da Demanda: A demanda por tais serviços se justifica pela necessidade de atender &lt;justificativa da necessidade&gt;.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A contratação está respaldada na Lei nº XXXX, que dispõe sobre &lt;base legal da contratação&gt;.</w:t>
      </w:r>
    </w:p>
    <w:p>
      <w:r>
        <w:rPr>
          <w:sz w:val="22"/>
        </w:rPr>
        <w:t>Normas Aplicáveis: As normas aplicáveis a este Termo de Referência são &lt;normas aplicáveis&gt;.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O serviço será executado em etapas, conforme descrito no Anexo I deste Termo de Referência.</w:t>
      </w:r>
    </w:p>
    <w:p>
      <w:r>
        <w:rPr>
          <w:sz w:val="22"/>
        </w:rPr>
        <w:t>Tolerância Técnica: É exigida uma tolerância técnica de &lt;tolerância técnica&gt; para a execução dos serviços.</w:t>
      </w:r>
    </w:p>
    <w:p>
      <w:r>
        <w:rPr>
          <w:sz w:val="22"/>
        </w:rPr>
        <w:t>Materiais Sustentáveis e Logística Reversa: Deve-se priorizar o uso de materiais sustentáveis durante a execução do contrato.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 execução dos serviços deve seguir padrões similares aos já realizados pela contratada.</w:t>
      </w:r>
    </w:p>
    <w:p>
      <w:r>
        <w:rPr>
          <w:sz w:val="22"/>
        </w:rPr>
        <w:t>Certificações Exigidas: A contratada deverá possuir as seguintes certificações necessárias: &lt;certificações necessárias&gt;.</w:t>
      </w:r>
    </w:p>
    <w:p>
      <w:r>
        <w:rPr>
          <w:sz w:val="22"/>
        </w:rPr>
        <w:t>PGR e PCMSO: A contratada deverá apresentar o Programa de Gerenciamento de Riscos (PGR) e o Programa de Controle Médico de Saúde Ocupacional (PCMSO).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O critério de julgamento das propostas será o de menor preço.</w:t>
      </w:r>
    </w:p>
    <w:p>
      <w:r>
        <w:rPr>
          <w:sz w:val="22"/>
        </w:rPr>
        <w:t>Garantia de Qualidade: A contratada deverá garantir a qualidade dos serviços prestados, conforme estabelecido em contrato.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Será instituído um painel de fiscalização para acompanhar a execução do contrato.</w:t>
      </w:r>
    </w:p>
    <w:p>
      <w:r>
        <w:rPr>
          <w:sz w:val="22"/>
        </w:rPr>
        <w:t>KPIs Operacionais: Os KPIs operacionais para avaliação da performance da contratada serão definidos no contrato.</w:t>
      </w:r>
    </w:p>
    <w:p>
      <w:r>
        <w:rPr>
          <w:sz w:val="22"/>
        </w:rPr>
        <w:t>Designação Formal: Será designado um fiscal do contrato, conforme previsto na legislação vigente.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Estão previstas penalidades para o caso de descumprimento das obrigações contratuais.</w:t>
      </w:r>
    </w:p>
    <w:p>
      <w:r>
        <w:rPr>
          <w:sz w:val="22"/>
        </w:rPr>
        <w:t>Alertas IA LUX: Serão utilizados alertas de Inteligência Artificial para monitorar o andamento dos serviços.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Os anexos obrigatórios para este Termo de Referência estão listados no Anexo II.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Um resumo deste Termo de Referência será disponibilizado para fins de transparência ativa.</w:t>
      </w:r>
    </w:p>
    <w:p>
      <w:r>
        <w:rPr>
          <w:sz w:val="22"/>
        </w:rPr>
        <w:t>FAQ Jurídico: Um FAQ jurídico será disponibilizado para esclarecer eventuais dúvidas sobre o processo de contratação.</w:t>
      </w:r>
    </w:p>
    <w:p>
      <w:r>
        <w:rPr>
          <w:sz w:val="22"/>
        </w:rPr>
        <w:t>Assinatura Digital: A assinatura do contrato deverá ser realizada em formato digital, conforme legislação em vigor.</w:t>
      </w:r>
    </w:p>
    <w:p>
      <w:r>
        <w:rPr>
          <w:sz w:val="22"/>
        </w:rPr>
        <w:t>Prazo de Publicação: O prazo de publicação deste Termo de Referência é de 5 dias úteis a partir da sua elaboração.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&lt;endereço&gt; – &lt;nome da cidade&gt; – &lt;CEP&gt;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&lt;nome da cidade&gt;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