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serviços de manutenção preventiva e corretiva em equipamentos industriais, incluindo revisão de componentes, troca de peças desgastadas e ajustes necessários para garantir o pleno funcionamento.</w:t>
      </w:r>
    </w:p>
    <w:p>
      <w:r>
        <w:rPr>
          <w:sz w:val="22"/>
        </w:rPr>
        <w:t>Justificativa da Demanda: A manutenção regular dos equipamentos é essencial para evitar paradas não programadas, garantir a segurança dos colaboradores e prolongar a vida útil dos ativos da empresa.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nº XXXX que dispõe sobre contratações públicas e suas regulamentações.</w:t>
      </w:r>
    </w:p>
    <w:p>
      <w:r>
        <w:rPr>
          <w:sz w:val="22"/>
        </w:rPr>
        <w:t>Normas Aplicáveis: Norma ABNT XXXX para manutenção de equipamentos industriais.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1. Levantamento e diagnóstico dos equipamentos; 2. Planejamento das intervenções; 3. Execução das manutenções preventivas e corretivas; 4. Testes de funcionamento e liberação para operação.</w:t>
      </w:r>
    </w:p>
    <w:p>
      <w:r>
        <w:rPr>
          <w:sz w:val="22"/>
        </w:rPr>
        <w:t>Tolerância Técnica: Tolerância técnica de ±5% no valor total do contrato para possíveis ajustes de escopo durante a execução dos serviços.</w:t>
      </w:r>
    </w:p>
    <w:p>
      <w:r>
        <w:rPr>
          <w:sz w:val="22"/>
        </w:rPr>
        <w:t>Materiais Sustentáveis e Logística Reversa: Priorização de materiais certificados com selos de sustentabilidade e que possam ser reciclados ou reutilizados.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 empresa contratada deverá comprovar experiência prévia em contratos similares de manutenção industrial, apresentando cases de sucesso e referências de clientes.</w:t>
      </w:r>
    </w:p>
    <w:p>
      <w:r>
        <w:rPr>
          <w:sz w:val="22"/>
        </w:rPr>
        <w:t>Certificações Exigidas: Certificações ISO XXXX relacionadas à gestão da qualidade e segurança do trabalho.</w:t>
      </w:r>
    </w:p>
    <w:p>
      <w:r>
        <w:rPr>
          <w:sz w:val="22"/>
        </w:rPr>
        <w:t>PGR e PCMSO: Programa de Gerenciamento de Riscos (PGR) e Programa de Controle Médico de Saúde Ocupacional (PCMSO) deverão ser elaborados e implementados pela contratada.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O critério de julgamento será o menor preço global, desde que atendidas todas as especificações técnicas e requisitos do edital.</w:t>
      </w:r>
    </w:p>
    <w:p>
      <w:r>
        <w:rPr>
          <w:sz w:val="22"/>
        </w:rPr>
        <w:t>Garantia de Qualidade: Garantia de qualidade de 12 meses para os serviços prestados, com prazo para correção de eventuais falhas identificadas.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Será instituído um painel de fiscalização composto por representantes da contratante e da contratada para acompanhamento e avaliação dos serviços.</w:t>
      </w:r>
    </w:p>
    <w:p>
      <w:r>
        <w:rPr>
          <w:sz w:val="22"/>
        </w:rPr>
        <w:t>KPIs Operacionais: Serão estabelecidos indicadores-chave de desempenho (KPIs) operacionais para monitoramento da qualidade e eficiência das manutenções realizadas.</w:t>
      </w:r>
    </w:p>
    <w:p>
      <w:r>
        <w:rPr>
          <w:sz w:val="22"/>
        </w:rPr>
        <w:t>Designação Formal: Será designado um fiscal do contrato com atribuições específicas de acompanhamento e fiscalização da execução dos serviços.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Estão previstas penalidades em caso de descumprimento de prazos, qualidade insatisfatória ou outras infrações contratuais, conforme previsto em cláusulas específicas do contrato.</w:t>
      </w:r>
    </w:p>
    <w:p>
      <w:r>
        <w:rPr>
          <w:sz w:val="22"/>
        </w:rPr>
        <w:t>Alertas IA LUX: Serão utilizados alertas de inteligência artificial para identificação de possíveis falhas nos equipamentos e antecipação de necessidades de manutenção.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Os anexos obrigatórios incluem a proposta técnica da contratada, documentos de habilitação, cronograma de execução e demais exigências do edital.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Um resumo das principais informações do contrato, incluindo objeto, valor, prazo e empresa contratada, será disponibilizado no portal de transparência da contratante.</w:t>
      </w:r>
    </w:p>
    <w:p>
      <w:r>
        <w:rPr>
          <w:sz w:val="22"/>
        </w:rPr>
        <w:t>FAQ Jurídico: Um FAQ jurídico será disponibilizado aos interessados, esclarecendo dúvidas frequentes sobre o processo de contratação e os direitos e deveres das partes envolvidas.</w:t>
      </w:r>
    </w:p>
    <w:p>
      <w:r>
        <w:rPr>
          <w:sz w:val="22"/>
        </w:rPr>
        <w:t>Assinatura Digital: A assinatura do contrato deverá ser realizada em formato digital, conforme previsto na legislação de documentos eletrônicos.</w:t>
      </w:r>
    </w:p>
    <w:p>
      <w:r>
        <w:rPr>
          <w:sz w:val="22"/>
        </w:rPr>
        <w:t>Prazo de Publicação: O prazo de publicação do edital de contratação será de 30 dias antes da data de abertura das propostas.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XXXX, nº XX – Nome da Cidade – XXXXX-XXX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0.137457044674px;height:70px" stroked="f" filled="f">
          <v:imagedata r:id="rId1" o:title=""/>
        </v:shape>
      </w:pict>
      <w:t/>
      <w:br/>
      <w:br/>
    </w:r>
    <w:r>
      <w:rPr>
        <w:b/>
      </w:rPr>
      <w:t>PREFEITURA MUNICIPAL DE Nome da Cidade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