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Desenvolvimento de um Sistema de Gestão Educacional integrado que permita a gestão completa das atividades pedagógicas e administrativas de instituições de ensino. O sistema deve incluir módulos de cadastro e controle de alunos, professores e servidores; gestão de matrículas, notas, frequências e desempenho escolar; módulos financeiros; e conformidade com a LGPD.</w:t>
      </w:r>
    </w:p>
    <w:p w14:paraId="54D3C96B" w14:textId="77777777" w:rsidR="009B5DCB" w:rsidRDefault="00000000">
      <w:r>
        <w:t>Justificativa da Demanda: Necessidade de otimizar os processos educacionais e administrativos nas instituições de ensino, garantindo eficiência operacional, conformidade legal e melhoria contínua na qualidade do ensino.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Lei nº 14.133/2021, especialmente os artigos referentes à modalidade de licitação, tipos de licitação e critérios de julgamento.</w:t>
      </w:r>
    </w:p>
    <w:p w14:paraId="45146ED4" w14:textId="77777777" w:rsidR="009B5DCB" w:rsidRDefault="00000000">
      <w:r>
        <w:t>Normas Aplicáveis: ABNT NBR ISO/IEC 27001, ABNT NBR ISO/IEC 29100, e outras normas aplicáveis à segurança da informação e privacidade.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Análise de requisitos, modelagem de dados, desenvolvimento de software, realização de testes, implantação do sistema, treinamento dos usuários e suporte técnico contínuo.</w:t>
      </w:r>
    </w:p>
    <w:p w14:paraId="33C55D02" w14:textId="77777777" w:rsidR="009B5DCB" w:rsidRDefault="00000000">
      <w:r>
        <w:t>Tolerância Técnica: Variações de até 5% nas especificações técnicas, desde que não comprometam a integridade e funcionalidade do sistema.</w:t>
      </w:r>
    </w:p>
    <w:p w14:paraId="358DEAEC" w14:textId="77777777" w:rsidR="009B5DCB" w:rsidRDefault="00000000">
      <w:r>
        <w:t>Materiais Sustentáveis e Logística Reversa: Utilização de servidores e infraestruturas de TI que comprovem eficiência energética e redução de emissão de carbono.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Prazo total de 24 meses a partir da assinatura do contrato, com entregas parciais conforme definição no cronograma detalhado no anexo.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Exigência de comprovação de experiência prévia em desenvolvimento de sistemas de gestão educacional de complexidade similar.</w:t>
      </w:r>
    </w:p>
    <w:p w14:paraId="3923C4DD" w14:textId="77777777" w:rsidR="009B5DCB" w:rsidRDefault="00000000">
      <w:r>
        <w:t>Certificações Exigidas: Certificações ISO 9001 e ISO 27001, além de registro ativo no CREA ou CAU para os profissionais envolvidos.</w:t>
      </w:r>
    </w:p>
    <w:p w14:paraId="2C441233" w14:textId="77777777" w:rsidR="009B5DCB" w:rsidRDefault="00000000">
      <w:r>
        <w:t>PGR e PCMSO: Implementação de Programa de Gerenciamento de Riscos (PGR) e Programa de Controle Médico de Saúde Ocupacional (PCMSO) conforme NRs aplicáveis.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Técnica e preço, priorizando a proposta que apresente melhor técnica e custo-benefício conforme especificado no art. 33 da Lei nº 14.133/2021.</w:t>
      </w:r>
    </w:p>
    <w:p w14:paraId="5F36B211" w14:textId="77777777" w:rsidR="009B5DCB" w:rsidRDefault="00000000">
      <w:r>
        <w:t>Garantia de Qualidade: Realização de testes de software, revisões de código e monitoramento contínuo dos indicadores de desempenho.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Utilização de checklists técnicos, relatórios de progresso e registros fotográficos das etapas de desenvolvimento e implantação.</w:t>
      </w:r>
    </w:p>
    <w:p w14:paraId="517675B6" w14:textId="77777777" w:rsidR="009B5DCB" w:rsidRDefault="00000000">
      <w:r>
        <w:t>KPIs Operacionais: Tempo de resposta do sistema, taxa de disponibilidade, satisfação do usuário e conformidade com os requisitos legais.</w:t>
      </w:r>
    </w:p>
    <w:p w14:paraId="488E950B" w14:textId="77777777" w:rsidR="009B5DCB" w:rsidRDefault="00000000">
      <w:r>
        <w:t>Designação Formal: Nome do fiscal a ser designado por portaria específica a ser emitida após a contratação.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Medição através de ferramentas de software e análise periódica por equipe técnica especializada.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Aplicação de sanções conforme art. 156 da Lei nº 14.133/2021, incluindo multas, suspensão temporária e declaração de inidoneidade.</w:t>
      </w:r>
    </w:p>
    <w:p w14:paraId="483EF825" w14:textId="77777777" w:rsidR="009B5DCB" w:rsidRDefault="00000000">
      <w:r>
        <w:t>Alertas IA LUX: Sistema de alertas para identificar duplicidade de escopo, conflitos com planejamento estratégico ou riscos regulatórios.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Planilha de custos detalhada, cronograma físico-financeiro, projeto executivo, memorial descritivo e matriz de risco.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Contratação de empresa especializada para desenvolvimento de um Sistema de Gestão Educacional, visando a eficiência e conformidade das operações educacionais.</w:t>
      </w:r>
    </w:p>
    <w:p w14:paraId="6CAAB3F7" w14:textId="77777777" w:rsidR="009B5DCB" w:rsidRDefault="00000000">
      <w:r>
        <w:t>FAQ Jurídico: Esclarecimentos sobre a legalidade da contratação, uso de recursos e conformidade com a Lei nº 14.133/2021.</w:t>
      </w:r>
    </w:p>
    <w:p w14:paraId="6BC6F174" w14:textId="77777777" w:rsidR="009B5DCB" w:rsidRDefault="00000000">
      <w:r>
        <w:t>Assinatura Digital: Assinatura digital com certificado ICP-Brasil.</w:t>
      </w:r>
    </w:p>
    <w:p w14:paraId="4A29F08B" w14:textId="77777777" w:rsidR="009B5DCB" w:rsidRDefault="00000000">
      <w:r>
        <w:t xml:space="preserve">Prazo de </w:t>
      </w:r>
      <w:proofErr w:type="spellStart"/>
      <w:r>
        <w:t>Publicação</w:t>
      </w:r>
      <w:proofErr w:type="spellEnd"/>
      <w:r>
        <w:t>: 5 dias úteis para publicação do contrato no Portal da Transparência após a assinatura.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contato@orgaopublico.edu.br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SÃO SIMÃO,</w:t>
      </w:r>
      <w:proofErr w:type="gramEnd"/>
      <w:r>
        <w:t xml:space="preserve"> 03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João Silva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Diretor de Tecnologia da Informação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Maria Oliveira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Secretária de Educação</w:t>
      </w:r>
    </w:p>
    <w:sectPr w:rsidR="00E502E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004B6" w14:textId="77777777" w:rsidR="003E6FEC" w:rsidRDefault="003E6FEC">
      <w:pPr>
        <w:spacing w:after="0" w:line="240" w:lineRule="auto"/>
      </w:pPr>
      <w:r>
        <w:separator/>
      </w:r>
    </w:p>
  </w:endnote>
  <w:endnote w:type="continuationSeparator" w:id="0">
    <w:p w14:paraId="453CE43D" w14:textId="77777777" w:rsidR="003E6FEC" w:rsidRDefault="003E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Rua Rodolfo Miranda, 167 – São Simão – 14200-000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6909" w14:textId="77777777" w:rsidR="003E6FEC" w:rsidRDefault="003E6FEC">
      <w:pPr>
        <w:spacing w:after="0" w:line="240" w:lineRule="auto"/>
      </w:pPr>
      <w:r>
        <w:separator/>
      </w:r>
    </w:p>
  </w:footnote>
  <w:footnote w:type="continuationSeparator" w:id="0">
    <w:p w14:paraId="30E2B64D" w14:textId="77777777" w:rsidR="003E6FEC" w:rsidRDefault="003E6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77777777" w:rsidR="009B5DCB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924"/>
    <w:rsid w:val="00326F90"/>
    <w:rsid w:val="003A6930"/>
    <w:rsid w:val="003E6FEC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2025-05-03T14:02:00Z</dcterms:modified>
  <cp:category/>
</cp:coreProperties>
</file>