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before="0"/>
      </w:pPr>
      <w:r>
        <w:rPr>
          <w:rFonts w:ascii="Arial" w:hAnsi="Arial" w:eastAsia="Arial"/>
          <w:b w:val="0"/>
          <w:color w:val="000000"/>
          <w:sz w:val="52"/>
        </w:rPr>
        <w:t>Opportunity Intelligence OS</w:t>
      </w:r>
    </w:p>
    <w:p>
      <w:pPr>
        <w:spacing w:after="280"/>
      </w:pPr>
      <w:r>
        <w:rPr>
          <w:rFonts w:ascii="Arial" w:hAnsi="Arial" w:eastAsia="Arial"/>
          <w:color w:val="555555"/>
          <w:sz w:val="22"/>
        </w:rPr>
        <w:t>A multi-agent workflow for turning technical curiosity into targeted opportunity, credible artifacts, and human-approved outreach.</w:t>
      </w:r>
    </w:p>
    <w:p>
      <w:pPr>
        <w:pStyle w:val="Heading1"/>
        <w:keepNext/>
        <w:spacing w:before="400" w:after="120"/>
      </w:pPr>
      <w:r>
        <w:rPr>
          <w:rFonts w:ascii="Arial" w:hAnsi="Arial" w:eastAsia="Arial"/>
          <w:b w:val="0"/>
          <w:color w:val="000000"/>
          <w:sz w:val="40"/>
        </w:rPr>
        <w:t>Rough Problem Description</w:t>
      </w:r>
    </w:p>
    <w:p>
      <w:pPr>
        <w:spacing w:after="160" w:line="276" w:lineRule="auto"/>
      </w:pPr>
      <w:r>
        <w:rPr>
          <w:rFonts w:ascii="Arial" w:hAnsi="Arial" w:eastAsia="Arial"/>
          <w:color w:val="000000"/>
        </w:rPr>
        <w:t>Talented students and early-career technical people often know they want to work on meaningful problems, but the job-search process pushes them toward generic applications, shallow networking, and cold messages that do not prove technical taste. The missing layer is not more job boards. It is a repeatable system for discovering real team problems, understanding them deeply enough to contribute, identifying the right people, and producing a credible note before outreach.</w:t>
      </w:r>
    </w:p>
    <w:p>
      <w:pPr>
        <w:spacing w:after="160" w:line="276" w:lineRule="auto"/>
      </w:pPr>
      <w:r>
        <w:rPr>
          <w:rFonts w:ascii="Arial" w:hAnsi="Arial" w:eastAsia="Arial"/>
          <w:color w:val="000000"/>
        </w:rPr>
        <w:t>This project is an opportunity intelligence and outreach operating system. It should help a user move from broad interest areas to company-specific technical packets: who to contact, what problem to discuss, what artifact to show, how the user's adjacent experience maps to the problem, and when to send or follow up.</w:t>
      </w:r>
    </w:p>
    <w:p>
      <w:pPr>
        <w:pStyle w:val="Heading1"/>
        <w:keepNext/>
        <w:spacing w:before="400" w:after="120"/>
      </w:pPr>
      <w:r>
        <w:rPr>
          <w:rFonts w:ascii="Arial" w:hAnsi="Arial" w:eastAsia="Arial"/>
          <w:b w:val="0"/>
          <w:color w:val="000000"/>
          <w:sz w:val="40"/>
        </w:rPr>
        <w:t>Product Thesis</w:t>
      </w:r>
    </w:p>
    <w:p>
      <w:pPr>
        <w:spacing w:after="160" w:line="276" w:lineRule="auto"/>
      </w:pPr>
      <w:r>
        <w:rPr>
          <w:rFonts w:ascii="Arial" w:hAnsi="Arial" w:eastAsia="Arial"/>
          <w:color w:val="000000"/>
        </w:rPr>
        <w:t>The system should behave like a small research-and-outreach team. It should not behave like a spam sender. The user remains the final decision-maker, especially before external actions such as LinkedIn connection requests, emails, scheduling, or messages.</w:t>
      </w:r>
    </w:p>
    <w:p>
      <w:pPr>
        <w:pStyle w:val="ListBullet"/>
        <w:spacing w:after="80" w:line="276" w:lineRule="auto"/>
      </w:pPr>
      <w:r>
        <w:rPr>
          <w:rFonts w:ascii="Arial" w:hAnsi="Arial" w:eastAsia="Arial"/>
          <w:color w:val="000000"/>
        </w:rPr>
        <w:t>Primary user: a technical student or early-career builder trying to break into high-signal teams.</w:t>
      </w:r>
    </w:p>
    <w:p>
      <w:pPr>
        <w:pStyle w:val="ListBullet"/>
        <w:spacing w:after="80" w:line="276" w:lineRule="auto"/>
      </w:pPr>
      <w:r>
        <w:rPr>
          <w:rFonts w:ascii="Arial" w:hAnsi="Arial" w:eastAsia="Arial"/>
          <w:color w:val="000000"/>
        </w:rPr>
        <w:t>Primary output: a company opportunity packet, not just a message draft.</w:t>
      </w:r>
    </w:p>
    <w:p>
      <w:pPr>
        <w:pStyle w:val="ListBullet"/>
        <w:spacing w:after="80" w:line="276" w:lineRule="auto"/>
      </w:pPr>
      <w:r>
        <w:rPr>
          <w:rFonts w:ascii="Arial" w:hAnsi="Arial" w:eastAsia="Arial"/>
          <w:color w:val="000000"/>
        </w:rPr>
        <w:t>Success metric: high-quality technical conversations started, not message volume.</w:t>
      </w:r>
    </w:p>
    <w:p>
      <w:pPr>
        <w:pStyle w:val="ListBullet"/>
        <w:spacing w:after="80" w:line="276" w:lineRule="auto"/>
      </w:pPr>
      <w:r>
        <w:rPr>
          <w:rFonts w:ascii="Arial" w:hAnsi="Arial" w:eastAsia="Arial"/>
          <w:color w:val="000000"/>
        </w:rPr>
        <w:t>Operating principle: action over confusion, but never at the cost of fabricated claims or uncontrolled outreach.</w:t>
      </w:r>
    </w:p>
    <w:p>
      <w:pPr>
        <w:pStyle w:val="Heading1"/>
        <w:keepNext/>
        <w:spacing w:before="400" w:after="120"/>
      </w:pPr>
      <w:r>
        <w:rPr>
          <w:rFonts w:ascii="Arial" w:hAnsi="Arial" w:eastAsia="Arial"/>
          <w:b w:val="0"/>
          <w:color w:val="000000"/>
          <w:sz w:val="40"/>
        </w:rPr>
        <w:t>Core Workflow</w:t>
      </w:r>
    </w:p>
    <w:p>
      <w:pPr>
        <w:pStyle w:val="ListNumber"/>
        <w:spacing w:after="80" w:line="276" w:lineRule="auto"/>
      </w:pPr>
      <w:r>
        <w:rPr>
          <w:rFonts w:ascii="Arial" w:hAnsi="Arial" w:eastAsia="Arial"/>
          <w:color w:val="000000"/>
        </w:rPr>
        <w:t>Source target companies by lane: AI infrastructure, inference systems, agentic AI, developer tools, data platforms, robotics AI, and adjacent technical areas.</w:t>
      </w:r>
    </w:p>
    <w:p>
      <w:pPr>
        <w:pStyle w:val="ListNumber"/>
        <w:spacing w:after="80" w:line="276" w:lineRule="auto"/>
      </w:pPr>
      <w:r>
        <w:rPr>
          <w:rFonts w:ascii="Arial" w:hAnsi="Arial" w:eastAsia="Arial"/>
          <w:color w:val="000000"/>
        </w:rPr>
        <w:t>Source open problems from company blogs, papers, docs, GitHub, job descriptions, LinkedIn posts, Hacker News, Reddit, conference talks, and public technical discussions.</w:t>
      </w:r>
    </w:p>
    <w:p>
      <w:pPr>
        <w:pStyle w:val="ListNumber"/>
        <w:spacing w:after="80" w:line="276" w:lineRule="auto"/>
      </w:pPr>
      <w:r>
        <w:rPr>
          <w:rFonts w:ascii="Arial" w:hAnsi="Arial" w:eastAsia="Arial"/>
          <w:color w:val="000000"/>
        </w:rPr>
        <w:t>Source relevant people who are close to the problem: engineers, researchers, founders, FDEs, product engineers, hiring managers, and recruiters.</w:t>
      </w:r>
    </w:p>
    <w:p>
      <w:pPr>
        <w:pStyle w:val="ListNumber"/>
        <w:spacing w:after="80" w:line="276" w:lineRule="auto"/>
      </w:pPr>
      <w:r>
        <w:rPr>
          <w:rFonts w:ascii="Arial" w:hAnsi="Arial" w:eastAsia="Arial"/>
          <w:color w:val="000000"/>
        </w:rPr>
        <w:t>Write a clear technical note explaining the problem, the current landscape, and one concrete contribution the user could build or reason about.</w:t>
      </w:r>
    </w:p>
    <w:p>
      <w:pPr>
        <w:pStyle w:val="ListNumber"/>
        <w:spacing w:after="80" w:line="276" w:lineRule="auto"/>
      </w:pPr>
      <w:r>
        <w:rPr>
          <w:rFonts w:ascii="Arial" w:hAnsi="Arial" w:eastAsia="Arial"/>
          <w:color w:val="000000"/>
        </w:rPr>
        <w:t>Map adjacent proof from the user's background. This can include prior projects, GitHub repositories, research, systems work, evaluation work, product judgment, or a closely related problem-solving pattern.</w:t>
      </w:r>
    </w:p>
    <w:p>
      <w:pPr>
        <w:pStyle w:val="ListNumber"/>
        <w:spacing w:after="80" w:line="276" w:lineRule="auto"/>
      </w:pPr>
      <w:r>
        <w:rPr>
          <w:rFonts w:ascii="Arial" w:hAnsi="Arial" w:eastAsia="Arial"/>
          <w:color w:val="000000"/>
        </w:rPr>
        <w:t>Choose the outreach channel: school email, LinkedIn, conference follow-up, X, or a warm intro when available.</w:t>
      </w:r>
    </w:p>
    <w:p>
      <w:pPr>
        <w:pStyle w:val="ListNumber"/>
        <w:spacing w:after="80" w:line="276" w:lineRule="auto"/>
      </w:pPr>
      <w:r>
        <w:rPr>
          <w:rFonts w:ascii="Arial" w:hAnsi="Arial" w:eastAsia="Arial"/>
          <w:color w:val="000000"/>
        </w:rPr>
        <w:t>Draft outreach under 200 words. Write like a student: specific, plain, human, and respectful. Avoid inflated claims, hype, and weird phrasing.</w:t>
      </w:r>
    </w:p>
    <w:p>
      <w:pPr>
        <w:pStyle w:val="ListNumber"/>
        <w:spacing w:after="80" w:line="276" w:lineRule="auto"/>
      </w:pPr>
      <w:r>
        <w:rPr>
          <w:rFonts w:ascii="Arial" w:hAnsi="Arial" w:eastAsia="Arial"/>
          <w:color w:val="000000"/>
        </w:rPr>
        <w:t>Run verification, ask for approval, send only the approved message, then track status and follow-up.</w:t>
      </w:r>
    </w:p>
    <w:p>
      <w:pPr>
        <w:pStyle w:val="Heading1"/>
        <w:keepNext/>
        <w:spacing w:before="400" w:after="120"/>
      </w:pPr>
      <w:r>
        <w:rPr>
          <w:rFonts w:ascii="Arial" w:hAnsi="Arial" w:eastAsia="Arial"/>
          <w:b w:val="0"/>
          <w:color w:val="000000"/>
          <w:sz w:val="40"/>
        </w:rPr>
        <w:t>Target Packet</w:t>
      </w:r>
    </w:p>
    <w:p>
      <w:pPr>
        <w:spacing w:after="160" w:line="276" w:lineRule="auto"/>
      </w:pPr>
      <w:r>
        <w:rPr>
          <w:rFonts w:ascii="Arial" w:hAnsi="Arial" w:eastAsia="Arial"/>
          <w:color w:val="000000"/>
        </w:rPr>
        <w:t>Each company should produce one packet that can be reviewed quickly and reused across outreach.</w:t>
      </w:r>
    </w:p>
    <w:tbl>
      <w:tblPr>
        <w:tblW w:type="dxa" w:w="9360"/>
        <w:jc w:val="left"/>
        <w:tblLayout w:type="fixed"/>
        <w:tblLook w:firstColumn="1" w:firstRow="1" w:lastColumn="0" w:lastRow="0" w:noHBand="0" w:noVBand="1" w:val="04A0"/>
        <w:tblBorders>
          <w:top w:val="single" w:sz="4" w:space="0" w:color="DADCE0"/>
          <w:left w:val="single" w:sz="4" w:space="0" w:color="DADCE0"/>
          <w:bottom w:val="single" w:sz="4" w:space="0" w:color="DADCE0"/>
          <w:right w:val="single" w:sz="4" w:space="0" w:color="DADCE0"/>
          <w:insideH w:val="single" w:sz="4" w:space="0" w:color="DADCE0"/>
          <w:insideV w:val="single" w:sz="4" w:space="0" w:color="DADCE0"/>
        </w:tblBorders>
      </w:tblPr>
      <w:tblGrid>
        <w:gridCol w:w="4680"/>
        <w:gridCol w:w="4680"/>
      </w:tblGrid>
      <w:tr>
        <w:tc>
          <w:tcPr>
            <w:tcW w:type="dxa" w:w="2376"/>
            <w:tcMar>
              <w:top w:w="80" w:type="dxa"/>
              <w:start w:w="120" w:type="dxa"/>
              <w:bottom w:w="80" w:type="dxa"/>
              <w:end w:w="120" w:type="dxa"/>
            </w:tcMar>
            <w:vAlign w:val="center"/>
            <w:shd w:fill="FFFFFF"/>
          </w:tcPr>
          <w:p>
            <w:pPr>
              <w:spacing w:after="0"/>
            </w:pPr>
            <w:r>
              <w:rPr>
                <w:rFonts w:ascii="Arial" w:hAnsi="Arial" w:eastAsia="Arial"/>
                <w:b/>
                <w:color w:val="000000"/>
                <w:sz w:val="20"/>
              </w:rPr>
              <w:t>Packet section</w:t>
            </w:r>
          </w:p>
        </w:tc>
        <w:tc>
          <w:tcPr>
            <w:tcW w:type="dxa" w:w="6983"/>
            <w:tcMar>
              <w:top w:w="80" w:type="dxa"/>
              <w:start w:w="120" w:type="dxa"/>
              <w:bottom w:w="80" w:type="dxa"/>
              <w:end w:w="120" w:type="dxa"/>
            </w:tcMar>
            <w:vAlign w:val="center"/>
            <w:shd w:fill="FFFFFF"/>
          </w:tcPr>
          <w:p>
            <w:pPr>
              <w:spacing w:after="0"/>
            </w:pPr>
            <w:r>
              <w:rPr>
                <w:rFonts w:ascii="Arial" w:hAnsi="Arial" w:eastAsia="Arial"/>
                <w:b/>
                <w:color w:val="000000"/>
                <w:sz w:val="20"/>
              </w:rPr>
              <w:t>Purpose</w:t>
            </w:r>
          </w:p>
        </w:tc>
        <w:trPr>
          <w:tblHeader/>
        </w:trPr>
      </w:tr>
      <w:tr>
        <w:tc>
          <w:tcPr>
            <w:tcW w:type="dxa" w:w="2376"/>
            <w:tcMar>
              <w:top w:w="80" w:type="dxa"/>
              <w:start w:w="120" w:type="dxa"/>
              <w:bottom w:w="80" w:type="dxa"/>
              <w:end w:w="120" w:type="dxa"/>
            </w:tcMar>
            <w:vAlign w:val="center"/>
          </w:tcPr>
          <w:p>
            <w:pPr>
              <w:spacing w:after="0" w:line="276" w:lineRule="auto"/>
            </w:pPr>
            <w:r>
              <w:rPr>
                <w:rFonts w:ascii="Arial" w:hAnsi="Arial" w:eastAsia="Arial"/>
                <w:color w:val="000000"/>
                <w:sz w:val="20"/>
              </w:rPr>
              <w:t>Company fit</w:t>
            </w:r>
          </w:p>
        </w:tc>
        <w:tc>
          <w:tcPr>
            <w:tcW w:type="dxa" w:w="6983"/>
            <w:tcMar>
              <w:top w:w="80" w:type="dxa"/>
              <w:start w:w="120" w:type="dxa"/>
              <w:bottom w:w="80" w:type="dxa"/>
              <w:end w:w="120" w:type="dxa"/>
            </w:tcMar>
            <w:vAlign w:val="center"/>
          </w:tcPr>
          <w:p>
            <w:pPr>
              <w:spacing w:after="0" w:line="276" w:lineRule="auto"/>
            </w:pPr>
            <w:r>
              <w:rPr>
                <w:rFonts w:ascii="Arial" w:hAnsi="Arial" w:eastAsia="Arial"/>
                <w:color w:val="000000"/>
                <w:sz w:val="20"/>
              </w:rPr>
              <w:t>Why this company belongs on the list; target lane; role fit; sponsorship or hiring notes when relevant.</w:t>
            </w:r>
          </w:p>
        </w:tc>
      </w:tr>
      <w:tr>
        <w:tc>
          <w:tcPr>
            <w:tcW w:type="dxa" w:w="2376"/>
            <w:tcMar>
              <w:top w:w="80" w:type="dxa"/>
              <w:start w:w="120" w:type="dxa"/>
              <w:bottom w:w="80" w:type="dxa"/>
              <w:end w:w="120" w:type="dxa"/>
            </w:tcMar>
            <w:vAlign w:val="center"/>
          </w:tcPr>
          <w:p>
            <w:pPr>
              <w:spacing w:after="0" w:line="276" w:lineRule="auto"/>
            </w:pPr>
            <w:r>
              <w:rPr>
                <w:rFonts w:ascii="Arial" w:hAnsi="Arial" w:eastAsia="Arial"/>
                <w:color w:val="000000"/>
                <w:sz w:val="20"/>
              </w:rPr>
              <w:t>Open problem</w:t>
            </w:r>
          </w:p>
        </w:tc>
        <w:tc>
          <w:tcPr>
            <w:tcW w:type="dxa" w:w="6983"/>
            <w:tcMar>
              <w:top w:w="80" w:type="dxa"/>
              <w:start w:w="120" w:type="dxa"/>
              <w:bottom w:w="80" w:type="dxa"/>
              <w:end w:w="120" w:type="dxa"/>
            </w:tcMar>
            <w:vAlign w:val="center"/>
          </w:tcPr>
          <w:p>
            <w:pPr>
              <w:spacing w:after="0" w:line="276" w:lineRule="auto"/>
            </w:pPr>
            <w:r>
              <w:rPr>
                <w:rFonts w:ascii="Arial" w:hAnsi="Arial" w:eastAsia="Arial"/>
                <w:color w:val="000000"/>
                <w:sz w:val="20"/>
              </w:rPr>
              <w:t>One specific problem the team appears to care about, backed by source URLs.</w:t>
            </w:r>
          </w:p>
        </w:tc>
      </w:tr>
      <w:tr>
        <w:tc>
          <w:tcPr>
            <w:tcW w:type="dxa" w:w="2376"/>
            <w:tcMar>
              <w:top w:w="80" w:type="dxa"/>
              <w:start w:w="120" w:type="dxa"/>
              <w:bottom w:w="80" w:type="dxa"/>
              <w:end w:w="120" w:type="dxa"/>
            </w:tcMar>
            <w:vAlign w:val="center"/>
          </w:tcPr>
          <w:p>
            <w:pPr>
              <w:spacing w:after="0" w:line="276" w:lineRule="auto"/>
            </w:pPr>
            <w:r>
              <w:rPr>
                <w:rFonts w:ascii="Arial" w:hAnsi="Arial" w:eastAsia="Arial"/>
                <w:color w:val="000000"/>
                <w:sz w:val="20"/>
              </w:rPr>
              <w:t>People map</w:t>
            </w:r>
          </w:p>
        </w:tc>
        <w:tc>
          <w:tcPr>
            <w:tcW w:type="dxa" w:w="6983"/>
            <w:tcMar>
              <w:top w:w="80" w:type="dxa"/>
              <w:start w:w="120" w:type="dxa"/>
              <w:bottom w:w="80" w:type="dxa"/>
              <w:end w:w="120" w:type="dxa"/>
            </w:tcMar>
            <w:vAlign w:val="center"/>
          </w:tcPr>
          <w:p>
            <w:pPr>
              <w:spacing w:after="0" w:line="276" w:lineRule="auto"/>
            </w:pPr>
            <w:r>
              <w:rPr>
                <w:rFonts w:ascii="Arial" w:hAnsi="Arial" w:eastAsia="Arial"/>
                <w:color w:val="000000"/>
                <w:sz w:val="20"/>
              </w:rPr>
              <w:t>Three to eight people ranked by relevance, with public profile links and why each person matters.</w:t>
            </w:r>
          </w:p>
        </w:tc>
      </w:tr>
      <w:tr>
        <w:tc>
          <w:tcPr>
            <w:tcW w:type="dxa" w:w="2376"/>
            <w:tcMar>
              <w:top w:w="80" w:type="dxa"/>
              <w:start w:w="120" w:type="dxa"/>
              <w:bottom w:w="80" w:type="dxa"/>
              <w:end w:w="120" w:type="dxa"/>
            </w:tcMar>
            <w:vAlign w:val="center"/>
          </w:tcPr>
          <w:p>
            <w:pPr>
              <w:spacing w:after="0" w:line="276" w:lineRule="auto"/>
            </w:pPr>
            <w:r>
              <w:rPr>
                <w:rFonts w:ascii="Arial" w:hAnsi="Arial" w:eastAsia="Arial"/>
                <w:color w:val="000000"/>
                <w:sz w:val="20"/>
              </w:rPr>
              <w:t>Technical note</w:t>
            </w:r>
          </w:p>
        </w:tc>
        <w:tc>
          <w:tcPr>
            <w:tcW w:type="dxa" w:w="6983"/>
            <w:tcMar>
              <w:top w:w="80" w:type="dxa"/>
              <w:start w:w="120" w:type="dxa"/>
              <w:bottom w:w="80" w:type="dxa"/>
              <w:end w:w="120" w:type="dxa"/>
            </w:tcMar>
            <w:vAlign w:val="center"/>
          </w:tcPr>
          <w:p>
            <w:pPr>
              <w:spacing w:after="0" w:line="276" w:lineRule="auto"/>
            </w:pPr>
            <w:r>
              <w:rPr>
                <w:rFonts w:ascii="Arial" w:hAnsi="Arial" w:eastAsia="Arial"/>
                <w:color w:val="000000"/>
                <w:sz w:val="20"/>
              </w:rPr>
              <w:t>One page explaining the problem, landscape, possible contribution, and evaluation plan.</w:t>
            </w:r>
          </w:p>
        </w:tc>
      </w:tr>
      <w:tr>
        <w:tc>
          <w:tcPr>
            <w:tcW w:type="dxa" w:w="2376"/>
            <w:tcMar>
              <w:top w:w="80" w:type="dxa"/>
              <w:start w:w="120" w:type="dxa"/>
              <w:bottom w:w="80" w:type="dxa"/>
              <w:end w:w="120" w:type="dxa"/>
            </w:tcMar>
            <w:vAlign w:val="center"/>
          </w:tcPr>
          <w:p>
            <w:pPr>
              <w:spacing w:after="0" w:line="276" w:lineRule="auto"/>
            </w:pPr>
            <w:r>
              <w:rPr>
                <w:rFonts w:ascii="Arial" w:hAnsi="Arial" w:eastAsia="Arial"/>
                <w:color w:val="000000"/>
                <w:sz w:val="20"/>
              </w:rPr>
              <w:t>Adjacent proof</w:t>
            </w:r>
          </w:p>
        </w:tc>
        <w:tc>
          <w:tcPr>
            <w:tcW w:type="dxa" w:w="6983"/>
            <w:tcMar>
              <w:top w:w="80" w:type="dxa"/>
              <w:start w:w="120" w:type="dxa"/>
              <w:bottom w:w="80" w:type="dxa"/>
              <w:end w:w="120" w:type="dxa"/>
            </w:tcMar>
            <w:vAlign w:val="center"/>
          </w:tcPr>
          <w:p>
            <w:pPr>
              <w:spacing w:after="0" w:line="276" w:lineRule="auto"/>
            </w:pPr>
            <w:r>
              <w:rPr>
                <w:rFonts w:ascii="Arial" w:hAnsi="Arial" w:eastAsia="Arial"/>
                <w:color w:val="000000"/>
                <w:sz w:val="20"/>
              </w:rPr>
              <w:t>A sober mapping from the user's background to the problem without overstating experience.</w:t>
            </w:r>
          </w:p>
        </w:tc>
      </w:tr>
      <w:tr>
        <w:tc>
          <w:tcPr>
            <w:tcW w:type="dxa" w:w="2376"/>
            <w:tcMar>
              <w:top w:w="80" w:type="dxa"/>
              <w:start w:w="120" w:type="dxa"/>
              <w:bottom w:w="80" w:type="dxa"/>
              <w:end w:w="120" w:type="dxa"/>
            </w:tcMar>
            <w:vAlign w:val="center"/>
          </w:tcPr>
          <w:p>
            <w:pPr>
              <w:spacing w:after="0" w:line="276" w:lineRule="auto"/>
            </w:pPr>
            <w:r>
              <w:rPr>
                <w:rFonts w:ascii="Arial" w:hAnsi="Arial" w:eastAsia="Arial"/>
                <w:color w:val="000000"/>
                <w:sz w:val="20"/>
              </w:rPr>
              <w:t>Outreach drafts</w:t>
            </w:r>
          </w:p>
        </w:tc>
        <w:tc>
          <w:tcPr>
            <w:tcW w:type="dxa" w:w="6983"/>
            <w:tcMar>
              <w:top w:w="80" w:type="dxa"/>
              <w:start w:w="120" w:type="dxa"/>
              <w:bottom w:w="80" w:type="dxa"/>
              <w:end w:w="120" w:type="dxa"/>
            </w:tcMar>
            <w:vAlign w:val="center"/>
          </w:tcPr>
          <w:p>
            <w:pPr>
              <w:spacing w:after="0" w:line="276" w:lineRule="auto"/>
            </w:pPr>
            <w:r>
              <w:rPr>
                <w:rFonts w:ascii="Arial" w:hAnsi="Arial" w:eastAsia="Arial"/>
                <w:color w:val="000000"/>
                <w:sz w:val="20"/>
              </w:rPr>
              <w:t>LinkedIn note, email, accepted-connection follow-up, and optional recruiter/FDE variant.</w:t>
            </w:r>
          </w:p>
        </w:tc>
      </w:tr>
      <w:tr>
        <w:tc>
          <w:tcPr>
            <w:tcW w:type="dxa" w:w="2376"/>
            <w:tcMar>
              <w:top w:w="80" w:type="dxa"/>
              <w:start w:w="120" w:type="dxa"/>
              <w:bottom w:w="80" w:type="dxa"/>
              <w:end w:w="120" w:type="dxa"/>
            </w:tcMar>
            <w:vAlign w:val="center"/>
          </w:tcPr>
          <w:p>
            <w:pPr>
              <w:spacing w:after="0" w:line="276" w:lineRule="auto"/>
            </w:pPr>
            <w:r>
              <w:rPr>
                <w:rFonts w:ascii="Arial" w:hAnsi="Arial" w:eastAsia="Arial"/>
                <w:color w:val="000000"/>
                <w:sz w:val="20"/>
              </w:rPr>
              <w:t>Verification</w:t>
            </w:r>
          </w:p>
        </w:tc>
        <w:tc>
          <w:tcPr>
            <w:tcW w:type="dxa" w:w="6983"/>
            <w:tcMar>
              <w:top w:w="80" w:type="dxa"/>
              <w:start w:w="120" w:type="dxa"/>
              <w:bottom w:w="80" w:type="dxa"/>
              <w:end w:w="120" w:type="dxa"/>
            </w:tcMar>
            <w:vAlign w:val="center"/>
          </w:tcPr>
          <w:p>
            <w:pPr>
              <w:spacing w:after="0" w:line="276" w:lineRule="auto"/>
            </w:pPr>
            <w:r>
              <w:rPr>
                <w:rFonts w:ascii="Arial" w:hAnsi="Arial" w:eastAsia="Arial"/>
                <w:color w:val="000000"/>
                <w:sz w:val="20"/>
              </w:rPr>
              <w:t>Source checks, word counts, claim checks, no guessed emails unless explicitly approved.</w:t>
            </w:r>
          </w:p>
        </w:tc>
      </w:tr>
      <w:tr>
        <w:tc>
          <w:tcPr>
            <w:tcW w:type="dxa" w:w="2376"/>
            <w:tcMar>
              <w:top w:w="80" w:type="dxa"/>
              <w:start w:w="120" w:type="dxa"/>
              <w:bottom w:w="80" w:type="dxa"/>
              <w:end w:w="120" w:type="dxa"/>
            </w:tcMar>
            <w:vAlign w:val="center"/>
          </w:tcPr>
          <w:p>
            <w:pPr>
              <w:spacing w:after="0" w:line="276" w:lineRule="auto"/>
            </w:pPr>
            <w:r>
              <w:rPr>
                <w:rFonts w:ascii="Arial" w:hAnsi="Arial" w:eastAsia="Arial"/>
                <w:color w:val="000000"/>
                <w:sz w:val="20"/>
              </w:rPr>
              <w:t>CRM status</w:t>
            </w:r>
          </w:p>
        </w:tc>
        <w:tc>
          <w:tcPr>
            <w:tcW w:type="dxa" w:w="6983"/>
            <w:tcMar>
              <w:top w:w="80" w:type="dxa"/>
              <w:start w:w="120" w:type="dxa"/>
              <w:bottom w:w="80" w:type="dxa"/>
              <w:end w:w="120" w:type="dxa"/>
            </w:tcMar>
            <w:vAlign w:val="center"/>
          </w:tcPr>
          <w:p>
            <w:pPr>
              <w:spacing w:after="0" w:line="276" w:lineRule="auto"/>
            </w:pPr>
            <w:r>
              <w:rPr>
                <w:rFonts w:ascii="Arial" w:hAnsi="Arial" w:eastAsia="Arial"/>
                <w:color w:val="000000"/>
                <w:sz w:val="20"/>
              </w:rPr>
              <w:t>Prepared, approved, sent, pending, accepted, replied, follow-up due, archived.</w:t>
            </w:r>
          </w:p>
        </w:tc>
      </w:tr>
    </w:tbl>
    <w:p>
      <w:pPr>
        <w:spacing w:after="40"/>
      </w:pPr>
    </w:p>
    <w:p>
      <w:pPr>
        <w:pStyle w:val="Heading1"/>
        <w:keepNext/>
        <w:spacing w:before="400" w:after="120"/>
      </w:pPr>
      <w:r>
        <w:rPr>
          <w:rFonts w:ascii="Arial" w:hAnsi="Arial" w:eastAsia="Arial"/>
          <w:b w:val="0"/>
          <w:color w:val="000000"/>
          <w:sz w:val="40"/>
        </w:rPr>
        <w:t>Multi-Agent Architecture</w:t>
      </w:r>
    </w:p>
    <w:p>
      <w:pPr>
        <w:spacing w:after="160" w:line="276" w:lineRule="auto"/>
      </w:pPr>
      <w:r>
        <w:rPr>
          <w:rFonts w:ascii="Arial" w:hAnsi="Arial" w:eastAsia="Arial"/>
          <w:color w:val="000000"/>
        </w:rPr>
        <w:t>The architecture should separate research, synthesis, writing, verification, and external action. The orchestrator owns state and decides which specialist agent should run next.</w:t>
      </w:r>
    </w:p>
    <w:tbl>
      <w:tblPr>
        <w:tblW w:type="dxa" w:w="9360"/>
        <w:jc w:val="left"/>
        <w:tblLayout w:type="fixed"/>
        <w:tblLook w:firstColumn="1" w:firstRow="1" w:lastColumn="0" w:lastRow="0" w:noHBand="0" w:noVBand="1" w:val="04A0"/>
        <w:tblBorders>
          <w:top w:val="single" w:sz="4" w:space="0" w:color="DADCE0"/>
          <w:left w:val="single" w:sz="4" w:space="0" w:color="DADCE0"/>
          <w:bottom w:val="single" w:sz="4" w:space="0" w:color="DADCE0"/>
          <w:right w:val="single" w:sz="4" w:space="0" w:color="DADCE0"/>
          <w:insideH w:val="single" w:sz="4" w:space="0" w:color="DADCE0"/>
          <w:insideV w:val="single" w:sz="4" w:space="0" w:color="DADCE0"/>
        </w:tblBorders>
      </w:tblPr>
      <w:tblGrid>
        <w:gridCol w:w="4680"/>
        <w:gridCol w:w="4680"/>
      </w:tblGrid>
      <w:tr>
        <w:tc>
          <w:tcPr>
            <w:tcW w:type="dxa" w:w="2232"/>
            <w:tcMar>
              <w:top w:w="80" w:type="dxa"/>
              <w:start w:w="120" w:type="dxa"/>
              <w:bottom w:w="80" w:type="dxa"/>
              <w:end w:w="120" w:type="dxa"/>
            </w:tcMar>
            <w:vAlign w:val="center"/>
            <w:shd w:fill="FFFFFF"/>
          </w:tcPr>
          <w:p>
            <w:pPr>
              <w:spacing w:after="0"/>
            </w:pPr>
            <w:r>
              <w:rPr>
                <w:rFonts w:ascii="Arial" w:hAnsi="Arial" w:eastAsia="Arial"/>
                <w:b/>
                <w:color w:val="000000"/>
                <w:sz w:val="20"/>
              </w:rPr>
              <w:t>Agent</w:t>
            </w:r>
          </w:p>
        </w:tc>
        <w:tc>
          <w:tcPr>
            <w:tcW w:type="dxa" w:w="7128"/>
            <w:tcMar>
              <w:top w:w="80" w:type="dxa"/>
              <w:start w:w="120" w:type="dxa"/>
              <w:bottom w:w="80" w:type="dxa"/>
              <w:end w:w="120" w:type="dxa"/>
            </w:tcMar>
            <w:vAlign w:val="center"/>
            <w:shd w:fill="FFFFFF"/>
          </w:tcPr>
          <w:p>
            <w:pPr>
              <w:spacing w:after="0"/>
            </w:pPr>
            <w:r>
              <w:rPr>
                <w:rFonts w:ascii="Arial" w:hAnsi="Arial" w:eastAsia="Arial"/>
                <w:b/>
                <w:color w:val="000000"/>
                <w:sz w:val="20"/>
              </w:rPr>
              <w:t>Responsibility</w:t>
            </w:r>
          </w:p>
        </w:tc>
        <w:trPr>
          <w:tblHeader/>
        </w:trPr>
      </w:tr>
      <w:tr>
        <w:tc>
          <w:tcPr>
            <w:tcW w:type="dxa" w:w="2232"/>
            <w:tcMar>
              <w:top w:w="80" w:type="dxa"/>
              <w:start w:w="120" w:type="dxa"/>
              <w:bottom w:w="80" w:type="dxa"/>
              <w:end w:w="120" w:type="dxa"/>
            </w:tcMar>
            <w:vAlign w:val="center"/>
          </w:tcPr>
          <w:p>
            <w:pPr>
              <w:spacing w:after="0" w:line="276" w:lineRule="auto"/>
            </w:pPr>
            <w:r>
              <w:rPr>
                <w:rFonts w:ascii="Arial" w:hAnsi="Arial" w:eastAsia="Arial"/>
                <w:color w:val="000000"/>
                <w:sz w:val="20"/>
              </w:rPr>
              <w:t>Orchestrator</w:t>
            </w:r>
          </w:p>
        </w:tc>
        <w:tc>
          <w:tcPr>
            <w:tcW w:type="dxa" w:w="7128"/>
            <w:tcMar>
              <w:top w:w="80" w:type="dxa"/>
              <w:start w:w="120" w:type="dxa"/>
              <w:bottom w:w="80" w:type="dxa"/>
              <w:end w:w="120" w:type="dxa"/>
            </w:tcMar>
            <w:vAlign w:val="center"/>
          </w:tcPr>
          <w:p>
            <w:pPr>
              <w:spacing w:after="0" w:line="276" w:lineRule="auto"/>
            </w:pPr>
            <w:r>
              <w:rPr>
                <w:rFonts w:ascii="Arial" w:hAnsi="Arial" w:eastAsia="Arial"/>
                <w:color w:val="000000"/>
                <w:sz w:val="20"/>
              </w:rPr>
              <w:t>Owns the task graph, state, approvals, retries, budget, and handoffs. It decides what can be automated and what needs user approval.</w:t>
            </w:r>
          </w:p>
        </w:tc>
      </w:tr>
      <w:tr>
        <w:tc>
          <w:tcPr>
            <w:tcW w:type="dxa" w:w="2232"/>
            <w:tcMar>
              <w:top w:w="80" w:type="dxa"/>
              <w:start w:w="120" w:type="dxa"/>
              <w:bottom w:w="80" w:type="dxa"/>
              <w:end w:w="120" w:type="dxa"/>
            </w:tcMar>
            <w:vAlign w:val="center"/>
          </w:tcPr>
          <w:p>
            <w:pPr>
              <w:spacing w:after="0" w:line="276" w:lineRule="auto"/>
            </w:pPr>
            <w:r>
              <w:rPr>
                <w:rFonts w:ascii="Arial" w:hAnsi="Arial" w:eastAsia="Arial"/>
                <w:color w:val="000000"/>
                <w:sz w:val="20"/>
              </w:rPr>
              <w:t>Profile Agent</w:t>
            </w:r>
          </w:p>
        </w:tc>
        <w:tc>
          <w:tcPr>
            <w:tcW w:type="dxa" w:w="7128"/>
            <w:tcMar>
              <w:top w:w="80" w:type="dxa"/>
              <w:start w:w="120" w:type="dxa"/>
              <w:bottom w:w="80" w:type="dxa"/>
              <w:end w:w="120" w:type="dxa"/>
            </w:tcMar>
            <w:vAlign w:val="center"/>
          </w:tcPr>
          <w:p>
            <w:pPr>
              <w:spacing w:after="0" w:line="276" w:lineRule="auto"/>
            </w:pPr>
            <w:r>
              <w:rPr>
                <w:rFonts w:ascii="Arial" w:hAnsi="Arial" w:eastAsia="Arial"/>
                <w:color w:val="000000"/>
                <w:sz w:val="20"/>
              </w:rPr>
              <w:t>Builds the user's technical map from resume, GitHub, projects, interests, constraints, and preferred roles.</w:t>
            </w:r>
          </w:p>
        </w:tc>
      </w:tr>
      <w:tr>
        <w:tc>
          <w:tcPr>
            <w:tcW w:type="dxa" w:w="2232"/>
            <w:tcMar>
              <w:top w:w="80" w:type="dxa"/>
              <w:start w:w="120" w:type="dxa"/>
              <w:bottom w:w="80" w:type="dxa"/>
              <w:end w:w="120" w:type="dxa"/>
            </w:tcMar>
            <w:vAlign w:val="center"/>
          </w:tcPr>
          <w:p>
            <w:pPr>
              <w:spacing w:after="0" w:line="276" w:lineRule="auto"/>
            </w:pPr>
            <w:r>
              <w:rPr>
                <w:rFonts w:ascii="Arial" w:hAnsi="Arial" w:eastAsia="Arial"/>
                <w:color w:val="000000"/>
                <w:sz w:val="20"/>
              </w:rPr>
              <w:t>Company Agent</w:t>
            </w:r>
          </w:p>
        </w:tc>
        <w:tc>
          <w:tcPr>
            <w:tcW w:type="dxa" w:w="7128"/>
            <w:tcMar>
              <w:top w:w="80" w:type="dxa"/>
              <w:start w:w="120" w:type="dxa"/>
              <w:bottom w:w="80" w:type="dxa"/>
              <w:end w:w="120" w:type="dxa"/>
            </w:tcMar>
            <w:vAlign w:val="center"/>
          </w:tcPr>
          <w:p>
            <w:pPr>
              <w:spacing w:after="0" w:line="276" w:lineRule="auto"/>
            </w:pPr>
            <w:r>
              <w:rPr>
                <w:rFonts w:ascii="Arial" w:hAnsi="Arial" w:eastAsia="Arial"/>
                <w:color w:val="000000"/>
                <w:sz w:val="20"/>
              </w:rPr>
              <w:t>Sources companies and scores them by technical fit, hiring relevance, sponsor likelihood, and reachable people.</w:t>
            </w:r>
          </w:p>
        </w:tc>
      </w:tr>
      <w:tr>
        <w:tc>
          <w:tcPr>
            <w:tcW w:type="dxa" w:w="2232"/>
            <w:tcMar>
              <w:top w:w="80" w:type="dxa"/>
              <w:start w:w="120" w:type="dxa"/>
              <w:bottom w:w="80" w:type="dxa"/>
              <w:end w:w="120" w:type="dxa"/>
            </w:tcMar>
            <w:vAlign w:val="center"/>
          </w:tcPr>
          <w:p>
            <w:pPr>
              <w:spacing w:after="0" w:line="276" w:lineRule="auto"/>
            </w:pPr>
            <w:r>
              <w:rPr>
                <w:rFonts w:ascii="Arial" w:hAnsi="Arial" w:eastAsia="Arial"/>
                <w:color w:val="000000"/>
                <w:sz w:val="20"/>
              </w:rPr>
              <w:t>Problem Agent</w:t>
            </w:r>
          </w:p>
        </w:tc>
        <w:tc>
          <w:tcPr>
            <w:tcW w:type="dxa" w:w="7128"/>
            <w:tcMar>
              <w:top w:w="80" w:type="dxa"/>
              <w:start w:w="120" w:type="dxa"/>
              <w:bottom w:w="80" w:type="dxa"/>
              <w:end w:w="120" w:type="dxa"/>
            </w:tcMar>
            <w:vAlign w:val="center"/>
          </w:tcPr>
          <w:p>
            <w:pPr>
              <w:spacing w:after="0" w:line="276" w:lineRule="auto"/>
            </w:pPr>
            <w:r>
              <w:rPr>
                <w:rFonts w:ascii="Arial" w:hAnsi="Arial" w:eastAsia="Arial"/>
                <w:color w:val="000000"/>
                <w:sz w:val="20"/>
              </w:rPr>
              <w:t>Extracts current problems from public sources and produces source-backed problem briefs.</w:t>
            </w:r>
          </w:p>
        </w:tc>
      </w:tr>
      <w:tr>
        <w:tc>
          <w:tcPr>
            <w:tcW w:type="dxa" w:w="2232"/>
            <w:tcMar>
              <w:top w:w="80" w:type="dxa"/>
              <w:start w:w="120" w:type="dxa"/>
              <w:bottom w:w="80" w:type="dxa"/>
              <w:end w:w="120" w:type="dxa"/>
            </w:tcMar>
            <w:vAlign w:val="center"/>
          </w:tcPr>
          <w:p>
            <w:pPr>
              <w:spacing w:after="0" w:line="276" w:lineRule="auto"/>
            </w:pPr>
            <w:r>
              <w:rPr>
                <w:rFonts w:ascii="Arial" w:hAnsi="Arial" w:eastAsia="Arial"/>
                <w:color w:val="000000"/>
                <w:sz w:val="20"/>
              </w:rPr>
              <w:t>People Agent</w:t>
            </w:r>
          </w:p>
        </w:tc>
        <w:tc>
          <w:tcPr>
            <w:tcW w:type="dxa" w:w="7128"/>
            <w:tcMar>
              <w:top w:w="80" w:type="dxa"/>
              <w:start w:w="120" w:type="dxa"/>
              <w:bottom w:w="80" w:type="dxa"/>
              <w:end w:w="120" w:type="dxa"/>
            </w:tcMar>
            <w:vAlign w:val="center"/>
          </w:tcPr>
          <w:p>
            <w:pPr>
              <w:spacing w:after="0" w:line="276" w:lineRule="auto"/>
            </w:pPr>
            <w:r>
              <w:rPr>
                <w:rFonts w:ascii="Arial" w:hAnsi="Arial" w:eastAsia="Arial"/>
                <w:color w:val="000000"/>
                <w:sz w:val="20"/>
              </w:rPr>
              <w:t>Finds and ranks relevant people by proximity to the problem and likely usefulness of outreach.</w:t>
            </w:r>
          </w:p>
        </w:tc>
      </w:tr>
      <w:tr>
        <w:tc>
          <w:tcPr>
            <w:tcW w:type="dxa" w:w="2232"/>
            <w:tcMar>
              <w:top w:w="80" w:type="dxa"/>
              <w:start w:w="120" w:type="dxa"/>
              <w:bottom w:w="80" w:type="dxa"/>
              <w:end w:w="120" w:type="dxa"/>
            </w:tcMar>
            <w:vAlign w:val="center"/>
          </w:tcPr>
          <w:p>
            <w:pPr>
              <w:spacing w:after="0" w:line="276" w:lineRule="auto"/>
            </w:pPr>
            <w:r>
              <w:rPr>
                <w:rFonts w:ascii="Arial" w:hAnsi="Arial" w:eastAsia="Arial"/>
                <w:color w:val="000000"/>
                <w:sz w:val="20"/>
              </w:rPr>
              <w:t>Technical Note Agent</w:t>
            </w:r>
          </w:p>
        </w:tc>
        <w:tc>
          <w:tcPr>
            <w:tcW w:type="dxa" w:w="7128"/>
            <w:tcMar>
              <w:top w:w="80" w:type="dxa"/>
              <w:start w:w="120" w:type="dxa"/>
              <w:bottom w:w="80" w:type="dxa"/>
              <w:end w:w="120" w:type="dxa"/>
            </w:tcMar>
            <w:vAlign w:val="center"/>
          </w:tcPr>
          <w:p>
            <w:pPr>
              <w:spacing w:after="0" w:line="276" w:lineRule="auto"/>
            </w:pPr>
            <w:r>
              <w:rPr>
                <w:rFonts w:ascii="Arial" w:hAnsi="Arial" w:eastAsia="Arial"/>
                <w:color w:val="000000"/>
                <w:sz w:val="20"/>
              </w:rPr>
              <w:t>Writes one-page technical notes with problem framing, landscape, contribution idea, and evaluation approach.</w:t>
            </w:r>
          </w:p>
        </w:tc>
      </w:tr>
      <w:tr>
        <w:tc>
          <w:tcPr>
            <w:tcW w:type="dxa" w:w="2232"/>
            <w:tcMar>
              <w:top w:w="80" w:type="dxa"/>
              <w:start w:w="120" w:type="dxa"/>
              <w:bottom w:w="80" w:type="dxa"/>
              <w:end w:w="120" w:type="dxa"/>
            </w:tcMar>
            <w:vAlign w:val="center"/>
          </w:tcPr>
          <w:p>
            <w:pPr>
              <w:spacing w:after="0" w:line="276" w:lineRule="auto"/>
            </w:pPr>
            <w:r>
              <w:rPr>
                <w:rFonts w:ascii="Arial" w:hAnsi="Arial" w:eastAsia="Arial"/>
                <w:color w:val="000000"/>
                <w:sz w:val="20"/>
              </w:rPr>
              <w:t>Outreach Agent</w:t>
            </w:r>
          </w:p>
        </w:tc>
        <w:tc>
          <w:tcPr>
            <w:tcW w:type="dxa" w:w="7128"/>
            <w:tcMar>
              <w:top w:w="80" w:type="dxa"/>
              <w:start w:w="120" w:type="dxa"/>
              <w:bottom w:w="80" w:type="dxa"/>
              <w:end w:w="120" w:type="dxa"/>
            </w:tcMar>
            <w:vAlign w:val="center"/>
          </w:tcPr>
          <w:p>
            <w:pPr>
              <w:spacing w:after="0" w:line="276" w:lineRule="auto"/>
            </w:pPr>
            <w:r>
              <w:rPr>
                <w:rFonts w:ascii="Arial" w:hAnsi="Arial" w:eastAsia="Arial"/>
                <w:color w:val="000000"/>
                <w:sz w:val="20"/>
              </w:rPr>
              <w:t>Writes concise human messages for email, LinkedIn, conference follow-up, and accepted-connection follow-up.</w:t>
            </w:r>
          </w:p>
        </w:tc>
      </w:tr>
      <w:tr>
        <w:tc>
          <w:tcPr>
            <w:tcW w:type="dxa" w:w="2232"/>
            <w:tcMar>
              <w:top w:w="80" w:type="dxa"/>
              <w:start w:w="120" w:type="dxa"/>
              <w:bottom w:w="80" w:type="dxa"/>
              <w:end w:w="120" w:type="dxa"/>
            </w:tcMar>
            <w:vAlign w:val="center"/>
          </w:tcPr>
          <w:p>
            <w:pPr>
              <w:spacing w:after="0" w:line="276" w:lineRule="auto"/>
            </w:pPr>
            <w:r>
              <w:rPr>
                <w:rFonts w:ascii="Arial" w:hAnsi="Arial" w:eastAsia="Arial"/>
                <w:color w:val="000000"/>
                <w:sz w:val="20"/>
              </w:rPr>
              <w:t>QA Agent</w:t>
            </w:r>
          </w:p>
        </w:tc>
        <w:tc>
          <w:tcPr>
            <w:tcW w:type="dxa" w:w="7128"/>
            <w:tcMar>
              <w:top w:w="80" w:type="dxa"/>
              <w:start w:w="120" w:type="dxa"/>
              <w:bottom w:w="80" w:type="dxa"/>
              <w:end w:w="120" w:type="dxa"/>
            </w:tcMar>
            <w:vAlign w:val="center"/>
          </w:tcPr>
          <w:p>
            <w:pPr>
              <w:spacing w:after="0" w:line="276" w:lineRule="auto"/>
            </w:pPr>
            <w:r>
              <w:rPr>
                <w:rFonts w:ascii="Arial" w:hAnsi="Arial" w:eastAsia="Arial"/>
                <w:color w:val="000000"/>
                <w:sz w:val="20"/>
              </w:rPr>
              <w:t>Checks sources, claims, word count, tone, duplicated outreach, missing approvals, and unsupported experience claims.</w:t>
            </w:r>
          </w:p>
        </w:tc>
      </w:tr>
      <w:tr>
        <w:tc>
          <w:tcPr>
            <w:tcW w:type="dxa" w:w="2232"/>
            <w:tcMar>
              <w:top w:w="80" w:type="dxa"/>
              <w:start w:w="120" w:type="dxa"/>
              <w:bottom w:w="80" w:type="dxa"/>
              <w:end w:w="120" w:type="dxa"/>
            </w:tcMar>
            <w:vAlign w:val="center"/>
          </w:tcPr>
          <w:p>
            <w:pPr>
              <w:spacing w:after="0" w:line="276" w:lineRule="auto"/>
            </w:pPr>
            <w:r>
              <w:rPr>
                <w:rFonts w:ascii="Arial" w:hAnsi="Arial" w:eastAsia="Arial"/>
                <w:color w:val="000000"/>
                <w:sz w:val="20"/>
              </w:rPr>
              <w:t>Action Agent</w:t>
            </w:r>
          </w:p>
        </w:tc>
        <w:tc>
          <w:tcPr>
            <w:tcW w:type="dxa" w:w="7128"/>
            <w:tcMar>
              <w:top w:w="80" w:type="dxa"/>
              <w:start w:w="120" w:type="dxa"/>
              <w:bottom w:w="80" w:type="dxa"/>
              <w:end w:w="120" w:type="dxa"/>
            </w:tcMar>
            <w:vAlign w:val="center"/>
          </w:tcPr>
          <w:p>
            <w:pPr>
              <w:spacing w:after="0" w:line="276" w:lineRule="auto"/>
            </w:pPr>
            <w:r>
              <w:rPr>
                <w:rFonts w:ascii="Arial" w:hAnsi="Arial" w:eastAsia="Arial"/>
                <w:color w:val="000000"/>
                <w:sz w:val="20"/>
              </w:rPr>
              <w:t>Creates drafts, opens browser tasks, sends only after explicit approval, and records outcomes.</w:t>
            </w:r>
          </w:p>
        </w:tc>
      </w:tr>
    </w:tbl>
    <w:p>
      <w:pPr>
        <w:spacing w:after="40"/>
      </w:pPr>
    </w:p>
    <w:p>
      <w:pPr>
        <w:pStyle w:val="Heading1"/>
        <w:keepNext/>
        <w:spacing w:before="400" w:after="120"/>
      </w:pPr>
      <w:r>
        <w:rPr>
          <w:rFonts w:ascii="Arial" w:hAnsi="Arial" w:eastAsia="Arial"/>
          <w:b w:val="0"/>
          <w:color w:val="000000"/>
          <w:sz w:val="40"/>
        </w:rPr>
        <w:t>Prioritized Execution Plan</w:t>
      </w:r>
    </w:p>
    <w:p>
      <w:pPr>
        <w:pStyle w:val="Heading2"/>
        <w:keepNext/>
        <w:spacing w:before="360" w:after="120"/>
      </w:pPr>
      <w:r>
        <w:rPr>
          <w:rFonts w:ascii="Arial" w:hAnsi="Arial" w:eastAsia="Arial"/>
          <w:b w:val="0"/>
          <w:color w:val="000000"/>
          <w:sz w:val="32"/>
        </w:rPr>
        <w:t>P0: Manual Gold Standard</w:t>
      </w:r>
    </w:p>
    <w:p>
      <w:pPr>
        <w:spacing w:after="160" w:line="276" w:lineRule="auto"/>
      </w:pPr>
      <w:r>
        <w:rPr>
          <w:rFonts w:ascii="Arial" w:hAnsi="Arial" w:eastAsia="Arial"/>
          <w:color w:val="000000"/>
        </w:rPr>
        <w:t>Create ten high-quality packets manually or semi-manually. Baseten is the reference example. This phase defines what good looks like before automating.</w:t>
      </w:r>
    </w:p>
    <w:p>
      <w:pPr>
        <w:pStyle w:val="ListBullet"/>
        <w:spacing w:after="80" w:line="276" w:lineRule="auto"/>
      </w:pPr>
      <w:r>
        <w:rPr>
          <w:rFonts w:ascii="Arial" w:hAnsi="Arial" w:eastAsia="Arial"/>
          <w:color w:val="000000"/>
        </w:rPr>
        <w:t>Deliverable: 10 company packets with sources, people, one-pagers, and outreach drafts.</w:t>
      </w:r>
    </w:p>
    <w:p>
      <w:pPr>
        <w:pStyle w:val="ListBullet"/>
        <w:spacing w:after="80" w:line="276" w:lineRule="auto"/>
      </w:pPr>
      <w:r>
        <w:rPr>
          <w:rFonts w:ascii="Arial" w:hAnsi="Arial" w:eastAsia="Arial"/>
          <w:color w:val="000000"/>
        </w:rPr>
        <w:t>Gate: every packet must be strong enough that the user would actually send the first message.</w:t>
      </w:r>
    </w:p>
    <w:p>
      <w:pPr>
        <w:pStyle w:val="ListBullet"/>
        <w:spacing w:after="80" w:line="276" w:lineRule="auto"/>
      </w:pPr>
      <w:r>
        <w:rPr>
          <w:rFonts w:ascii="Arial" w:hAnsi="Arial" w:eastAsia="Arial"/>
          <w:color w:val="000000"/>
        </w:rPr>
        <w:t>Avoid: building agent complexity before the packet format is proven.</w:t>
      </w:r>
    </w:p>
    <w:p>
      <w:pPr>
        <w:pStyle w:val="Heading2"/>
        <w:keepNext/>
        <w:spacing w:before="360" w:after="120"/>
      </w:pPr>
      <w:r>
        <w:rPr>
          <w:rFonts w:ascii="Arial" w:hAnsi="Arial" w:eastAsia="Arial"/>
          <w:b w:val="0"/>
          <w:color w:val="000000"/>
          <w:sz w:val="32"/>
        </w:rPr>
        <w:t>P1: Data Model and Tracker</w:t>
      </w:r>
    </w:p>
    <w:p>
      <w:pPr>
        <w:spacing w:after="160" w:line="276" w:lineRule="auto"/>
      </w:pPr>
      <w:r>
        <w:rPr>
          <w:rFonts w:ascii="Arial" w:hAnsi="Arial" w:eastAsia="Arial"/>
          <w:color w:val="000000"/>
        </w:rPr>
        <w:t>Create a lightweight CRM and artifact store. Start with local files plus SQLite or a simple structured store before adding a larger backend.</w:t>
      </w:r>
    </w:p>
    <w:p>
      <w:pPr>
        <w:pStyle w:val="ListBullet"/>
        <w:spacing w:after="80" w:line="276" w:lineRule="auto"/>
      </w:pPr>
      <w:r>
        <w:rPr>
          <w:rFonts w:ascii="Arial" w:hAnsi="Arial" w:eastAsia="Arial"/>
          <w:color w:val="000000"/>
        </w:rPr>
        <w:t>Entities: user profile, company, problem, person, source, packet, message, approval, send event, follow-up.</w:t>
      </w:r>
    </w:p>
    <w:p>
      <w:pPr>
        <w:pStyle w:val="ListBullet"/>
        <w:spacing w:after="80" w:line="276" w:lineRule="auto"/>
      </w:pPr>
      <w:r>
        <w:rPr>
          <w:rFonts w:ascii="Arial" w:hAnsi="Arial" w:eastAsia="Arial"/>
          <w:color w:val="000000"/>
        </w:rPr>
        <w:t>Statuses: sourced, drafted, verified, approved, sent, pending, accepted, replied, follow-up due, closed.</w:t>
      </w:r>
    </w:p>
    <w:p>
      <w:pPr>
        <w:pStyle w:val="ListBullet"/>
        <w:spacing w:after="80" w:line="276" w:lineRule="auto"/>
      </w:pPr>
      <w:r>
        <w:rPr>
          <w:rFonts w:ascii="Arial" w:hAnsi="Arial" w:eastAsia="Arial"/>
          <w:color w:val="000000"/>
        </w:rPr>
        <w:t>Artifacts: one-pagers, source notes, outreach variants, verification logs.</w:t>
      </w:r>
    </w:p>
    <w:p>
      <w:pPr>
        <w:pStyle w:val="Heading2"/>
        <w:keepNext/>
        <w:spacing w:before="360" w:after="120"/>
      </w:pPr>
      <w:r>
        <w:rPr>
          <w:rFonts w:ascii="Arial" w:hAnsi="Arial" w:eastAsia="Arial"/>
          <w:b w:val="0"/>
          <w:color w:val="000000"/>
          <w:sz w:val="32"/>
        </w:rPr>
        <w:t>P2: Agent Harness</w:t>
      </w:r>
    </w:p>
    <w:p>
      <w:pPr>
        <w:spacing w:after="160" w:line="276" w:lineRule="auto"/>
      </w:pPr>
      <w:r>
        <w:rPr>
          <w:rFonts w:ascii="Arial" w:hAnsi="Arial" w:eastAsia="Arial"/>
          <w:color w:val="000000"/>
        </w:rPr>
        <w:t>Implement the orchestrator as a task graph. Each agent receives a clear input object and returns structured JSON plus a human-readable artifact. The first agent harness does not need to be fancy. It needs to be observable and reliable.</w:t>
      </w:r>
    </w:p>
    <w:p>
      <w:pPr>
        <w:pStyle w:val="ListBullet"/>
        <w:spacing w:after="80" w:line="276" w:lineRule="auto"/>
      </w:pPr>
      <w:r>
        <w:rPr>
          <w:rFonts w:ascii="Arial" w:hAnsi="Arial" w:eastAsia="Arial"/>
          <w:color w:val="000000"/>
        </w:rPr>
        <w:t>Every agent output includes confidence, source URLs, assumptions, and next recommended action.</w:t>
      </w:r>
    </w:p>
    <w:p>
      <w:pPr>
        <w:pStyle w:val="ListBullet"/>
        <w:spacing w:after="80" w:line="276" w:lineRule="auto"/>
      </w:pPr>
      <w:r>
        <w:rPr>
          <w:rFonts w:ascii="Arial" w:hAnsi="Arial" w:eastAsia="Arial"/>
          <w:color w:val="000000"/>
        </w:rPr>
        <w:t>The QA agent runs before any user-facing artifact is considered ready.</w:t>
      </w:r>
    </w:p>
    <w:p>
      <w:pPr>
        <w:pStyle w:val="ListBullet"/>
        <w:spacing w:after="80" w:line="276" w:lineRule="auto"/>
      </w:pPr>
      <w:r>
        <w:rPr>
          <w:rFonts w:ascii="Arial" w:hAnsi="Arial" w:eastAsia="Arial"/>
          <w:color w:val="000000"/>
        </w:rPr>
        <w:t>The Action Agent is disabled by default for external sends and requires explicit approval.</w:t>
      </w:r>
    </w:p>
    <w:p>
      <w:pPr>
        <w:pStyle w:val="Heading2"/>
        <w:keepNext/>
        <w:spacing w:before="360" w:after="120"/>
      </w:pPr>
      <w:r>
        <w:rPr>
          <w:rFonts w:ascii="Arial" w:hAnsi="Arial" w:eastAsia="Arial"/>
          <w:b w:val="0"/>
          <w:color w:val="000000"/>
          <w:sz w:val="32"/>
        </w:rPr>
        <w:t>P3: Connectors</w:t>
      </w:r>
    </w:p>
    <w:p>
      <w:pPr>
        <w:spacing w:after="160" w:line="276" w:lineRule="auto"/>
      </w:pPr>
      <w:r>
        <w:rPr>
          <w:rFonts w:ascii="Arial" w:hAnsi="Arial" w:eastAsia="Arial"/>
          <w:color w:val="000000"/>
        </w:rPr>
        <w:t>Add integrations only after the core packet loop works. The connectors are useful because they reduce friction, not because they replace judgment.</w:t>
      </w:r>
    </w:p>
    <w:tbl>
      <w:tblPr>
        <w:tblW w:type="dxa" w:w="9360"/>
        <w:jc w:val="left"/>
        <w:tblLayout w:type="fixed"/>
        <w:tblLook w:firstColumn="1" w:firstRow="1" w:lastColumn="0" w:lastRow="0" w:noHBand="0" w:noVBand="1" w:val="04A0"/>
        <w:tblBorders>
          <w:top w:val="single" w:sz="4" w:space="0" w:color="DADCE0"/>
          <w:left w:val="single" w:sz="4" w:space="0" w:color="DADCE0"/>
          <w:bottom w:val="single" w:sz="4" w:space="0" w:color="DADCE0"/>
          <w:right w:val="single" w:sz="4" w:space="0" w:color="DADCE0"/>
          <w:insideH w:val="single" w:sz="4" w:space="0" w:color="DADCE0"/>
          <w:insideV w:val="single" w:sz="4" w:space="0" w:color="DADCE0"/>
        </w:tblBorders>
      </w:tblPr>
      <w:tblGrid>
        <w:gridCol w:w="4680"/>
        <w:gridCol w:w="4680"/>
      </w:tblGrid>
      <w:tr>
        <w:tc>
          <w:tcPr>
            <w:tcW w:type="dxa" w:w="2592"/>
            <w:tcMar>
              <w:top w:w="80" w:type="dxa"/>
              <w:start w:w="120" w:type="dxa"/>
              <w:bottom w:w="80" w:type="dxa"/>
              <w:end w:w="120" w:type="dxa"/>
            </w:tcMar>
            <w:vAlign w:val="center"/>
            <w:shd w:fill="FFFFFF"/>
          </w:tcPr>
          <w:p>
            <w:pPr>
              <w:spacing w:after="0"/>
            </w:pPr>
            <w:r>
              <w:rPr>
                <w:rFonts w:ascii="Arial" w:hAnsi="Arial" w:eastAsia="Arial"/>
                <w:b/>
                <w:color w:val="000000"/>
                <w:sz w:val="20"/>
              </w:rPr>
              <w:t>Connector</w:t>
            </w:r>
          </w:p>
        </w:tc>
        <w:tc>
          <w:tcPr>
            <w:tcW w:type="dxa" w:w="6768"/>
            <w:tcMar>
              <w:top w:w="80" w:type="dxa"/>
              <w:start w:w="120" w:type="dxa"/>
              <w:bottom w:w="80" w:type="dxa"/>
              <w:end w:w="120" w:type="dxa"/>
            </w:tcMar>
            <w:vAlign w:val="center"/>
            <w:shd w:fill="FFFFFF"/>
          </w:tcPr>
          <w:p>
            <w:pPr>
              <w:spacing w:after="0"/>
            </w:pPr>
            <w:r>
              <w:rPr>
                <w:rFonts w:ascii="Arial" w:hAnsi="Arial" w:eastAsia="Arial"/>
                <w:b/>
                <w:color w:val="000000"/>
                <w:sz w:val="20"/>
              </w:rPr>
              <w:t>Use</w:t>
            </w:r>
          </w:p>
        </w:tc>
        <w:trPr>
          <w:tblHeader/>
        </w:trPr>
      </w:tr>
      <w:tr>
        <w:tc>
          <w:tcPr>
            <w:tcW w:type="dxa" w:w="2592"/>
            <w:tcMar>
              <w:top w:w="80" w:type="dxa"/>
              <w:start w:w="120" w:type="dxa"/>
              <w:bottom w:w="80" w:type="dxa"/>
              <w:end w:w="120" w:type="dxa"/>
            </w:tcMar>
            <w:vAlign w:val="center"/>
          </w:tcPr>
          <w:p>
            <w:pPr>
              <w:spacing w:after="0" w:line="276" w:lineRule="auto"/>
            </w:pPr>
            <w:r>
              <w:rPr>
                <w:rFonts w:ascii="Arial" w:hAnsi="Arial" w:eastAsia="Arial"/>
                <w:color w:val="000000"/>
                <w:sz w:val="20"/>
              </w:rPr>
              <w:t>GitHub</w:t>
            </w:r>
          </w:p>
        </w:tc>
        <w:tc>
          <w:tcPr>
            <w:tcW w:type="dxa" w:w="6768"/>
            <w:tcMar>
              <w:top w:w="80" w:type="dxa"/>
              <w:start w:w="120" w:type="dxa"/>
              <w:bottom w:w="80" w:type="dxa"/>
              <w:end w:w="120" w:type="dxa"/>
            </w:tcMar>
            <w:vAlign w:val="center"/>
          </w:tcPr>
          <w:p>
            <w:pPr>
              <w:spacing w:after="0" w:line="276" w:lineRule="auto"/>
            </w:pPr>
            <w:r>
              <w:rPr>
                <w:rFonts w:ascii="Arial" w:hAnsi="Arial" w:eastAsia="Arial"/>
                <w:color w:val="000000"/>
                <w:sz w:val="20"/>
              </w:rPr>
              <w:t>Read user's repositories and generate adjacent proof.</w:t>
            </w:r>
          </w:p>
        </w:tc>
      </w:tr>
      <w:tr>
        <w:tc>
          <w:tcPr>
            <w:tcW w:type="dxa" w:w="2592"/>
            <w:tcMar>
              <w:top w:w="80" w:type="dxa"/>
              <w:start w:w="120" w:type="dxa"/>
              <w:bottom w:w="80" w:type="dxa"/>
              <w:end w:w="120" w:type="dxa"/>
            </w:tcMar>
            <w:vAlign w:val="center"/>
          </w:tcPr>
          <w:p>
            <w:pPr>
              <w:spacing w:after="0" w:line="276" w:lineRule="auto"/>
            </w:pPr>
            <w:r>
              <w:rPr>
                <w:rFonts w:ascii="Arial" w:hAnsi="Arial" w:eastAsia="Arial"/>
                <w:color w:val="000000"/>
                <w:sz w:val="20"/>
              </w:rPr>
              <w:t>Browser</w:t>
            </w:r>
          </w:p>
        </w:tc>
        <w:tc>
          <w:tcPr>
            <w:tcW w:type="dxa" w:w="6768"/>
            <w:tcMar>
              <w:top w:w="80" w:type="dxa"/>
              <w:start w:w="120" w:type="dxa"/>
              <w:bottom w:w="80" w:type="dxa"/>
              <w:end w:w="120" w:type="dxa"/>
            </w:tcMar>
            <w:vAlign w:val="center"/>
          </w:tcPr>
          <w:p>
            <w:pPr>
              <w:spacing w:after="0" w:line="276" w:lineRule="auto"/>
            </w:pPr>
            <w:r>
              <w:rPr>
                <w:rFonts w:ascii="Arial" w:hAnsi="Arial" w:eastAsia="Arial"/>
                <w:color w:val="000000"/>
                <w:sz w:val="20"/>
              </w:rPr>
              <w:t>Research company pages, LinkedIn profiles, blogs, and public discussions.</w:t>
            </w:r>
          </w:p>
        </w:tc>
      </w:tr>
      <w:tr>
        <w:tc>
          <w:tcPr>
            <w:tcW w:type="dxa" w:w="2592"/>
            <w:tcMar>
              <w:top w:w="80" w:type="dxa"/>
              <w:start w:w="120" w:type="dxa"/>
              <w:bottom w:w="80" w:type="dxa"/>
              <w:end w:w="120" w:type="dxa"/>
            </w:tcMar>
            <w:vAlign w:val="center"/>
          </w:tcPr>
          <w:p>
            <w:pPr>
              <w:spacing w:after="0" w:line="276" w:lineRule="auto"/>
            </w:pPr>
            <w:r>
              <w:rPr>
                <w:rFonts w:ascii="Arial" w:hAnsi="Arial" w:eastAsia="Arial"/>
                <w:color w:val="000000"/>
                <w:sz w:val="20"/>
              </w:rPr>
              <w:t>Google Docs/Drive</w:t>
            </w:r>
          </w:p>
        </w:tc>
        <w:tc>
          <w:tcPr>
            <w:tcW w:type="dxa" w:w="6768"/>
            <w:tcMar>
              <w:top w:w="80" w:type="dxa"/>
              <w:start w:w="120" w:type="dxa"/>
              <w:bottom w:w="80" w:type="dxa"/>
              <w:end w:w="120" w:type="dxa"/>
            </w:tcMar>
            <w:vAlign w:val="center"/>
          </w:tcPr>
          <w:p>
            <w:pPr>
              <w:spacing w:after="0" w:line="276" w:lineRule="auto"/>
            </w:pPr>
            <w:r>
              <w:rPr>
                <w:rFonts w:ascii="Arial" w:hAnsi="Arial" w:eastAsia="Arial"/>
                <w:color w:val="000000"/>
                <w:sz w:val="20"/>
              </w:rPr>
              <w:t>Create polished one-pagers and teammate-readable packets.</w:t>
            </w:r>
          </w:p>
        </w:tc>
      </w:tr>
      <w:tr>
        <w:tc>
          <w:tcPr>
            <w:tcW w:type="dxa" w:w="2592"/>
            <w:tcMar>
              <w:top w:w="80" w:type="dxa"/>
              <w:start w:w="120" w:type="dxa"/>
              <w:bottom w:w="80" w:type="dxa"/>
              <w:end w:w="120" w:type="dxa"/>
            </w:tcMar>
            <w:vAlign w:val="center"/>
          </w:tcPr>
          <w:p>
            <w:pPr>
              <w:spacing w:after="0" w:line="276" w:lineRule="auto"/>
            </w:pPr>
            <w:r>
              <w:rPr>
                <w:rFonts w:ascii="Arial" w:hAnsi="Arial" w:eastAsia="Arial"/>
                <w:color w:val="000000"/>
                <w:sz w:val="20"/>
              </w:rPr>
              <w:t>Gmail</w:t>
            </w:r>
          </w:p>
        </w:tc>
        <w:tc>
          <w:tcPr>
            <w:tcW w:type="dxa" w:w="6768"/>
            <w:tcMar>
              <w:top w:w="80" w:type="dxa"/>
              <w:start w:w="120" w:type="dxa"/>
              <w:bottom w:w="80" w:type="dxa"/>
              <w:end w:w="120" w:type="dxa"/>
            </w:tcMar>
            <w:vAlign w:val="center"/>
          </w:tcPr>
          <w:p>
            <w:pPr>
              <w:spacing w:after="0" w:line="276" w:lineRule="auto"/>
            </w:pPr>
            <w:r>
              <w:rPr>
                <w:rFonts w:ascii="Arial" w:hAnsi="Arial" w:eastAsia="Arial"/>
                <w:color w:val="000000"/>
                <w:sz w:val="20"/>
              </w:rPr>
              <w:t>Create drafts and schedule approved emails.</w:t>
            </w:r>
          </w:p>
        </w:tc>
      </w:tr>
      <w:tr>
        <w:tc>
          <w:tcPr>
            <w:tcW w:type="dxa" w:w="2592"/>
            <w:tcMar>
              <w:top w:w="80" w:type="dxa"/>
              <w:start w:w="120" w:type="dxa"/>
              <w:bottom w:w="80" w:type="dxa"/>
              <w:end w:w="120" w:type="dxa"/>
            </w:tcMar>
            <w:vAlign w:val="center"/>
          </w:tcPr>
          <w:p>
            <w:pPr>
              <w:spacing w:after="0" w:line="276" w:lineRule="auto"/>
            </w:pPr>
            <w:r>
              <w:rPr>
                <w:rFonts w:ascii="Arial" w:hAnsi="Arial" w:eastAsia="Arial"/>
                <w:color w:val="000000"/>
                <w:sz w:val="20"/>
              </w:rPr>
              <w:t>LinkedIn</w:t>
            </w:r>
          </w:p>
        </w:tc>
        <w:tc>
          <w:tcPr>
            <w:tcW w:type="dxa" w:w="6768"/>
            <w:tcMar>
              <w:top w:w="80" w:type="dxa"/>
              <w:start w:w="120" w:type="dxa"/>
              <w:bottom w:w="80" w:type="dxa"/>
              <w:end w:w="120" w:type="dxa"/>
            </w:tcMar>
            <w:vAlign w:val="center"/>
          </w:tcPr>
          <w:p>
            <w:pPr>
              <w:spacing w:after="0" w:line="276" w:lineRule="auto"/>
            </w:pPr>
            <w:r>
              <w:rPr>
                <w:rFonts w:ascii="Arial" w:hAnsi="Arial" w:eastAsia="Arial"/>
                <w:color w:val="000000"/>
                <w:sz w:val="20"/>
              </w:rPr>
              <w:t>Prepare and send approved connection requests or follow-ups.</w:t>
            </w:r>
          </w:p>
        </w:tc>
      </w:tr>
      <w:tr>
        <w:tc>
          <w:tcPr>
            <w:tcW w:type="dxa" w:w="2592"/>
            <w:tcMar>
              <w:top w:w="80" w:type="dxa"/>
              <w:start w:w="120" w:type="dxa"/>
              <w:bottom w:w="80" w:type="dxa"/>
              <w:end w:w="120" w:type="dxa"/>
            </w:tcMar>
            <w:vAlign w:val="center"/>
          </w:tcPr>
          <w:p>
            <w:pPr>
              <w:spacing w:after="0" w:line="276" w:lineRule="auto"/>
            </w:pPr>
            <w:r>
              <w:rPr>
                <w:rFonts w:ascii="Arial" w:hAnsi="Arial" w:eastAsia="Arial"/>
                <w:color w:val="000000"/>
                <w:sz w:val="20"/>
              </w:rPr>
              <w:t>Calendar/conference sources</w:t>
            </w:r>
          </w:p>
        </w:tc>
        <w:tc>
          <w:tcPr>
            <w:tcW w:type="dxa" w:w="6768"/>
            <w:tcMar>
              <w:top w:w="80" w:type="dxa"/>
              <w:start w:w="120" w:type="dxa"/>
              <w:bottom w:w="80" w:type="dxa"/>
              <w:end w:w="120" w:type="dxa"/>
            </w:tcMar>
            <w:vAlign w:val="center"/>
          </w:tcPr>
          <w:p>
            <w:pPr>
              <w:spacing w:after="0" w:line="276" w:lineRule="auto"/>
            </w:pPr>
            <w:r>
              <w:rPr>
                <w:rFonts w:ascii="Arial" w:hAnsi="Arial" w:eastAsia="Arial"/>
                <w:color w:val="000000"/>
                <w:sz w:val="20"/>
              </w:rPr>
              <w:t>Track events, speaker lists, and in-person follow-up opportunities.</w:t>
            </w:r>
          </w:p>
        </w:tc>
      </w:tr>
    </w:tbl>
    <w:p>
      <w:pPr>
        <w:spacing w:after="40"/>
      </w:pPr>
    </w:p>
    <w:p>
      <w:pPr>
        <w:pStyle w:val="Heading2"/>
        <w:keepNext/>
        <w:spacing w:before="360" w:after="120"/>
      </w:pPr>
      <w:r>
        <w:rPr>
          <w:rFonts w:ascii="Arial" w:hAnsi="Arial" w:eastAsia="Arial"/>
          <w:b w:val="0"/>
          <w:color w:val="000000"/>
          <w:sz w:val="32"/>
        </w:rPr>
        <w:t>P4: Feedback Learning</w:t>
      </w:r>
    </w:p>
    <w:p>
      <w:pPr>
        <w:spacing w:after="160" w:line="276" w:lineRule="auto"/>
      </w:pPr>
      <w:r>
        <w:rPr>
          <w:rFonts w:ascii="Arial" w:hAnsi="Arial" w:eastAsia="Arial"/>
          <w:color w:val="000000"/>
        </w:rPr>
        <w:t>Record what actually happens after outreach. The system should learn which companies, problems, people types, and message styles lead to useful conversations.</w:t>
      </w:r>
    </w:p>
    <w:p>
      <w:pPr>
        <w:pStyle w:val="ListBullet"/>
        <w:spacing w:after="80" w:line="276" w:lineRule="auto"/>
      </w:pPr>
      <w:r>
        <w:rPr>
          <w:rFonts w:ascii="Arial" w:hAnsi="Arial" w:eastAsia="Arial"/>
          <w:color w:val="000000"/>
        </w:rPr>
        <w:t>Track acceptance, reply, meeting, referral, and no-response outcomes.</w:t>
      </w:r>
    </w:p>
    <w:p>
      <w:pPr>
        <w:pStyle w:val="ListBullet"/>
        <w:spacing w:after="80" w:line="276" w:lineRule="auto"/>
      </w:pPr>
      <w:r>
        <w:rPr>
          <w:rFonts w:ascii="Arial" w:hAnsi="Arial" w:eastAsia="Arial"/>
          <w:color w:val="000000"/>
        </w:rPr>
        <w:t>Compare engineer-style, recruiter-style, and FDE-style messages.</w:t>
      </w:r>
    </w:p>
    <w:p>
      <w:pPr>
        <w:pStyle w:val="ListBullet"/>
        <w:spacing w:after="80" w:line="276" w:lineRule="auto"/>
      </w:pPr>
      <w:r>
        <w:rPr>
          <w:rFonts w:ascii="Arial" w:hAnsi="Arial" w:eastAsia="Arial"/>
          <w:color w:val="000000"/>
        </w:rPr>
        <w:t>Update the user's proof bank when a project framing works.</w:t>
      </w:r>
    </w:p>
    <w:p>
      <w:pPr>
        <w:pStyle w:val="Heading1"/>
        <w:keepNext/>
        <w:spacing w:before="400" w:after="120"/>
      </w:pPr>
      <w:r>
        <w:rPr>
          <w:rFonts w:ascii="Arial" w:hAnsi="Arial" w:eastAsia="Arial"/>
          <w:b w:val="0"/>
          <w:color w:val="000000"/>
          <w:sz w:val="40"/>
        </w:rPr>
        <w:t>Model and Cost Strategy</w:t>
      </w:r>
    </w:p>
    <w:p>
      <w:pPr>
        <w:spacing w:after="160" w:line="276" w:lineRule="auto"/>
      </w:pPr>
      <w:r>
        <w:rPr>
          <w:rFonts w:ascii="Arial" w:hAnsi="Arial" w:eastAsia="Arial"/>
          <w:color w:val="000000"/>
        </w:rPr>
        <w:t>Use cheap models for extraction and expensive models only where judgment matters. Cost control is a product feature because the workflow can become token-heavy fast.</w:t>
      </w:r>
    </w:p>
    <w:tbl>
      <w:tblPr>
        <w:tblW w:type="dxa" w:w="9360"/>
        <w:jc w:val="left"/>
        <w:tblLayout w:type="fixed"/>
        <w:tblLook w:firstColumn="1" w:firstRow="1" w:lastColumn="0" w:lastRow="0" w:noHBand="0" w:noVBand="1" w:val="04A0"/>
        <w:tblBorders>
          <w:top w:val="single" w:sz="4" w:space="0" w:color="DADCE0"/>
          <w:left w:val="single" w:sz="4" w:space="0" w:color="DADCE0"/>
          <w:bottom w:val="single" w:sz="4" w:space="0" w:color="DADCE0"/>
          <w:right w:val="single" w:sz="4" w:space="0" w:color="DADCE0"/>
          <w:insideH w:val="single" w:sz="4" w:space="0" w:color="DADCE0"/>
          <w:insideV w:val="single" w:sz="4" w:space="0" w:color="DADCE0"/>
        </w:tblBorders>
      </w:tblPr>
      <w:tblGrid>
        <w:gridCol w:w="4680"/>
        <w:gridCol w:w="4680"/>
      </w:tblGrid>
      <w:tr>
        <w:tc>
          <w:tcPr>
            <w:tcW w:type="dxa" w:w="2376"/>
            <w:tcMar>
              <w:top w:w="80" w:type="dxa"/>
              <w:start w:w="120" w:type="dxa"/>
              <w:bottom w:w="80" w:type="dxa"/>
              <w:end w:w="120" w:type="dxa"/>
            </w:tcMar>
            <w:vAlign w:val="center"/>
            <w:shd w:fill="FFFFFF"/>
          </w:tcPr>
          <w:p>
            <w:pPr>
              <w:spacing w:after="0"/>
            </w:pPr>
            <w:r>
              <w:rPr>
                <w:rFonts w:ascii="Arial" w:hAnsi="Arial" w:eastAsia="Arial"/>
                <w:b/>
                <w:color w:val="000000"/>
                <w:sz w:val="20"/>
              </w:rPr>
              <w:t>Area</w:t>
            </w:r>
          </w:p>
        </w:tc>
        <w:tc>
          <w:tcPr>
            <w:tcW w:type="dxa" w:w="6983"/>
            <w:tcMar>
              <w:top w:w="80" w:type="dxa"/>
              <w:start w:w="120" w:type="dxa"/>
              <w:bottom w:w="80" w:type="dxa"/>
              <w:end w:w="120" w:type="dxa"/>
            </w:tcMar>
            <w:vAlign w:val="center"/>
            <w:shd w:fill="FFFFFF"/>
          </w:tcPr>
          <w:p>
            <w:pPr>
              <w:spacing w:after="0"/>
            </w:pPr>
            <w:r>
              <w:rPr>
                <w:rFonts w:ascii="Arial" w:hAnsi="Arial" w:eastAsia="Arial"/>
                <w:b/>
                <w:color w:val="000000"/>
                <w:sz w:val="20"/>
              </w:rPr>
              <w:t>Rule</w:t>
            </w:r>
          </w:p>
        </w:tc>
        <w:trPr>
          <w:tblHeader/>
        </w:trPr>
      </w:tr>
      <w:tr>
        <w:tc>
          <w:tcPr>
            <w:tcW w:type="dxa" w:w="2376"/>
            <w:tcMar>
              <w:top w:w="80" w:type="dxa"/>
              <w:start w:w="120" w:type="dxa"/>
              <w:bottom w:w="80" w:type="dxa"/>
              <w:end w:w="120" w:type="dxa"/>
            </w:tcMar>
            <w:vAlign w:val="center"/>
          </w:tcPr>
          <w:p>
            <w:pPr>
              <w:spacing w:after="0" w:line="276" w:lineRule="auto"/>
            </w:pPr>
            <w:r>
              <w:rPr>
                <w:rFonts w:ascii="Arial" w:hAnsi="Arial" w:eastAsia="Arial"/>
                <w:color w:val="000000"/>
                <w:sz w:val="20"/>
              </w:rPr>
              <w:t>Cheap model tasks</w:t>
            </w:r>
          </w:p>
        </w:tc>
        <w:tc>
          <w:tcPr>
            <w:tcW w:type="dxa" w:w="6983"/>
            <w:tcMar>
              <w:top w:w="80" w:type="dxa"/>
              <w:start w:w="120" w:type="dxa"/>
              <w:bottom w:w="80" w:type="dxa"/>
              <w:end w:w="120" w:type="dxa"/>
            </w:tcMar>
            <w:vAlign w:val="center"/>
          </w:tcPr>
          <w:p>
            <w:pPr>
              <w:spacing w:after="0" w:line="276" w:lineRule="auto"/>
            </w:pPr>
            <w:r>
              <w:rPr>
                <w:rFonts w:ascii="Arial" w:hAnsi="Arial" w:eastAsia="Arial"/>
                <w:color w:val="000000"/>
                <w:sz w:val="20"/>
              </w:rPr>
              <w:t>Deduping companies, extracting profile snippets, formatting source lists, word counts, first-pass summaries.</w:t>
            </w:r>
          </w:p>
        </w:tc>
      </w:tr>
      <w:tr>
        <w:tc>
          <w:tcPr>
            <w:tcW w:type="dxa" w:w="2376"/>
            <w:tcMar>
              <w:top w:w="80" w:type="dxa"/>
              <w:start w:w="120" w:type="dxa"/>
              <w:bottom w:w="80" w:type="dxa"/>
              <w:end w:w="120" w:type="dxa"/>
            </w:tcMar>
            <w:vAlign w:val="center"/>
          </w:tcPr>
          <w:p>
            <w:pPr>
              <w:spacing w:after="0" w:line="276" w:lineRule="auto"/>
            </w:pPr>
            <w:r>
              <w:rPr>
                <w:rFonts w:ascii="Arial" w:hAnsi="Arial" w:eastAsia="Arial"/>
                <w:color w:val="000000"/>
                <w:sz w:val="20"/>
              </w:rPr>
              <w:t>Strong model tasks</w:t>
            </w:r>
          </w:p>
        </w:tc>
        <w:tc>
          <w:tcPr>
            <w:tcW w:type="dxa" w:w="6983"/>
            <w:tcMar>
              <w:top w:w="80" w:type="dxa"/>
              <w:start w:w="120" w:type="dxa"/>
              <w:bottom w:w="80" w:type="dxa"/>
              <w:end w:w="120" w:type="dxa"/>
            </w:tcMar>
            <w:vAlign w:val="center"/>
          </w:tcPr>
          <w:p>
            <w:pPr>
              <w:spacing w:after="0" w:line="276" w:lineRule="auto"/>
            </w:pPr>
            <w:r>
              <w:rPr>
                <w:rFonts w:ascii="Arial" w:hAnsi="Arial" w:eastAsia="Arial"/>
                <w:color w:val="000000"/>
                <w:sz w:val="20"/>
              </w:rPr>
              <w:t>Problem framing, technical note synthesis, claim QA, final outreach voice, and orchestration decisions.</w:t>
            </w:r>
          </w:p>
        </w:tc>
      </w:tr>
      <w:tr>
        <w:tc>
          <w:tcPr>
            <w:tcW w:type="dxa" w:w="2376"/>
            <w:tcMar>
              <w:top w:w="80" w:type="dxa"/>
              <w:start w:w="120" w:type="dxa"/>
              <w:bottom w:w="80" w:type="dxa"/>
              <w:end w:w="120" w:type="dxa"/>
            </w:tcMar>
            <w:vAlign w:val="center"/>
          </w:tcPr>
          <w:p>
            <w:pPr>
              <w:spacing w:after="0" w:line="276" w:lineRule="auto"/>
            </w:pPr>
            <w:r>
              <w:rPr>
                <w:rFonts w:ascii="Arial" w:hAnsi="Arial" w:eastAsia="Arial"/>
                <w:color w:val="000000"/>
                <w:sz w:val="20"/>
              </w:rPr>
              <w:t>Caching</w:t>
            </w:r>
          </w:p>
        </w:tc>
        <w:tc>
          <w:tcPr>
            <w:tcW w:type="dxa" w:w="6983"/>
            <w:tcMar>
              <w:top w:w="80" w:type="dxa"/>
              <w:start w:w="120" w:type="dxa"/>
              <w:bottom w:w="80" w:type="dxa"/>
              <w:end w:w="120" w:type="dxa"/>
            </w:tcMar>
            <w:vAlign w:val="center"/>
          </w:tcPr>
          <w:p>
            <w:pPr>
              <w:spacing w:after="0" w:line="276" w:lineRule="auto"/>
            </w:pPr>
            <w:r>
              <w:rPr>
                <w:rFonts w:ascii="Arial" w:hAnsi="Arial" w:eastAsia="Arial"/>
                <w:color w:val="000000"/>
                <w:sz w:val="20"/>
              </w:rPr>
              <w:t>Cache page text, source summaries, people records, company records, and previous packet components.</w:t>
            </w:r>
          </w:p>
        </w:tc>
      </w:tr>
      <w:tr>
        <w:tc>
          <w:tcPr>
            <w:tcW w:type="dxa" w:w="2376"/>
            <w:tcMar>
              <w:top w:w="80" w:type="dxa"/>
              <w:start w:w="120" w:type="dxa"/>
              <w:bottom w:w="80" w:type="dxa"/>
              <w:end w:w="120" w:type="dxa"/>
            </w:tcMar>
            <w:vAlign w:val="center"/>
          </w:tcPr>
          <w:p>
            <w:pPr>
              <w:spacing w:after="0" w:line="276" w:lineRule="auto"/>
            </w:pPr>
            <w:r>
              <w:rPr>
                <w:rFonts w:ascii="Arial" w:hAnsi="Arial" w:eastAsia="Arial"/>
                <w:color w:val="000000"/>
                <w:sz w:val="20"/>
              </w:rPr>
              <w:t>Budgets</w:t>
            </w:r>
          </w:p>
        </w:tc>
        <w:tc>
          <w:tcPr>
            <w:tcW w:type="dxa" w:w="6983"/>
            <w:tcMar>
              <w:top w:w="80" w:type="dxa"/>
              <w:start w:w="120" w:type="dxa"/>
              <w:bottom w:w="80" w:type="dxa"/>
              <w:end w:w="120" w:type="dxa"/>
            </w:tcMar>
            <w:vAlign w:val="center"/>
          </w:tcPr>
          <w:p>
            <w:pPr>
              <w:spacing w:after="0" w:line="276" w:lineRule="auto"/>
            </w:pPr>
            <w:r>
              <w:rPr>
                <w:rFonts w:ascii="Arial" w:hAnsi="Arial" w:eastAsia="Arial"/>
                <w:color w:val="000000"/>
                <w:sz w:val="20"/>
              </w:rPr>
              <w:t>Set per-packet token and dollar budgets. Escalate only when the packet is worth sending.</w:t>
            </w:r>
          </w:p>
        </w:tc>
      </w:tr>
      <w:tr>
        <w:tc>
          <w:tcPr>
            <w:tcW w:type="dxa" w:w="2376"/>
            <w:tcMar>
              <w:top w:w="80" w:type="dxa"/>
              <w:start w:w="120" w:type="dxa"/>
              <w:bottom w:w="80" w:type="dxa"/>
              <w:end w:w="120" w:type="dxa"/>
            </w:tcMar>
            <w:vAlign w:val="center"/>
          </w:tcPr>
          <w:p>
            <w:pPr>
              <w:spacing w:after="0" w:line="276" w:lineRule="auto"/>
            </w:pPr>
            <w:r>
              <w:rPr>
                <w:rFonts w:ascii="Arial" w:hAnsi="Arial" w:eastAsia="Arial"/>
                <w:color w:val="000000"/>
                <w:sz w:val="20"/>
              </w:rPr>
              <w:t>Evaluation</w:t>
            </w:r>
          </w:p>
        </w:tc>
        <w:tc>
          <w:tcPr>
            <w:tcW w:type="dxa" w:w="6983"/>
            <w:tcMar>
              <w:top w:w="80" w:type="dxa"/>
              <w:start w:w="120" w:type="dxa"/>
              <w:bottom w:w="80" w:type="dxa"/>
              <w:end w:w="120" w:type="dxa"/>
            </w:tcMar>
            <w:vAlign w:val="center"/>
          </w:tcPr>
          <w:p>
            <w:pPr>
              <w:spacing w:after="0" w:line="276" w:lineRule="auto"/>
            </w:pPr>
            <w:r>
              <w:rPr>
                <w:rFonts w:ascii="Arial" w:hAnsi="Arial" w:eastAsia="Arial"/>
                <w:color w:val="000000"/>
                <w:sz w:val="20"/>
              </w:rPr>
              <w:t>Score each output for source coverage, specificity, actionability, and risk before human review.</w:t>
            </w:r>
          </w:p>
        </w:tc>
      </w:tr>
    </w:tbl>
    <w:p>
      <w:pPr>
        <w:spacing w:after="40"/>
      </w:pPr>
    </w:p>
    <w:p>
      <w:pPr>
        <w:pStyle w:val="Heading1"/>
        <w:keepNext/>
        <w:spacing w:before="400" w:after="120"/>
      </w:pPr>
      <w:r>
        <w:rPr>
          <w:rFonts w:ascii="Arial" w:hAnsi="Arial" w:eastAsia="Arial"/>
          <w:b w:val="0"/>
          <w:color w:val="000000"/>
          <w:sz w:val="40"/>
        </w:rPr>
        <w:t>Constraints and Non-Negotiables</w:t>
      </w:r>
    </w:p>
    <w:p>
      <w:pPr>
        <w:pStyle w:val="ListBullet"/>
        <w:spacing w:after="80" w:line="276" w:lineRule="auto"/>
      </w:pPr>
      <w:r>
        <w:rPr>
          <w:rFonts w:ascii="Arial" w:hAnsi="Arial" w:eastAsia="Arial"/>
          <w:color w:val="000000"/>
        </w:rPr>
        <w:t>No API keys or secrets in Docs, prompts, notes, screenshots, or commits. Store keys in a secret manager or local .env file. Rotate any key that has been pasted into shared text.</w:t>
      </w:r>
    </w:p>
    <w:p>
      <w:pPr>
        <w:pStyle w:val="ListBullet"/>
        <w:spacing w:after="80" w:line="276" w:lineRule="auto"/>
      </w:pPr>
      <w:r>
        <w:rPr>
          <w:rFonts w:ascii="Arial" w:hAnsi="Arial" w:eastAsia="Arial"/>
          <w:color w:val="000000"/>
        </w:rPr>
        <w:t>No fabricated experience. The system can say the user is studying or prototyping a problem, but it cannot imply production experience the user does not have.</w:t>
      </w:r>
    </w:p>
    <w:p>
      <w:pPr>
        <w:pStyle w:val="ListBullet"/>
        <w:spacing w:after="80" w:line="276" w:lineRule="auto"/>
      </w:pPr>
      <w:r>
        <w:rPr>
          <w:rFonts w:ascii="Arial" w:hAnsi="Arial" w:eastAsia="Arial"/>
          <w:color w:val="000000"/>
        </w:rPr>
        <w:t>No uncontrolled mass outreach. External messages require explicit approval and should be targeted.</w:t>
      </w:r>
    </w:p>
    <w:p>
      <w:pPr>
        <w:pStyle w:val="ListBullet"/>
        <w:spacing w:after="80" w:line="276" w:lineRule="auto"/>
      </w:pPr>
      <w:r>
        <w:rPr>
          <w:rFonts w:ascii="Arial" w:hAnsi="Arial" w:eastAsia="Arial"/>
          <w:color w:val="000000"/>
        </w:rPr>
        <w:t>Respect platform rules and rate limits. The browser should support user-approved workflows, not scrape aggressively or bypass access controls.</w:t>
      </w:r>
    </w:p>
    <w:p>
      <w:pPr>
        <w:pStyle w:val="ListBullet"/>
        <w:spacing w:after="80" w:line="276" w:lineRule="auto"/>
      </w:pPr>
      <w:r>
        <w:rPr>
          <w:rFonts w:ascii="Arial" w:hAnsi="Arial" w:eastAsia="Arial"/>
          <w:color w:val="000000"/>
        </w:rPr>
        <w:t>Every person and company claim needs a source URL or a clear uncertainty label.</w:t>
      </w:r>
    </w:p>
    <w:p>
      <w:pPr>
        <w:pStyle w:val="ListBullet"/>
        <w:spacing w:after="80" w:line="276" w:lineRule="auto"/>
      </w:pPr>
      <w:r>
        <w:rPr>
          <w:rFonts w:ascii="Arial" w:hAnsi="Arial" w:eastAsia="Arial"/>
          <w:color w:val="000000"/>
        </w:rPr>
        <w:t>Every outreach draft should be under 200 words unless the user explicitly asks for a longer message.</w:t>
      </w:r>
    </w:p>
    <w:p>
      <w:pPr>
        <w:pStyle w:val="ListBullet"/>
        <w:spacing w:after="80" w:line="276" w:lineRule="auto"/>
      </w:pPr>
      <w:r>
        <w:rPr>
          <w:rFonts w:ascii="Arial" w:hAnsi="Arial" w:eastAsia="Arial"/>
          <w:color w:val="000000"/>
        </w:rPr>
        <w:t>The default tone is specific, curious, student-like, and technically grounded.</w:t>
      </w:r>
    </w:p>
    <w:p>
      <w:pPr>
        <w:pStyle w:val="Heading1"/>
        <w:keepNext/>
        <w:spacing w:before="400" w:after="120"/>
      </w:pPr>
      <w:r>
        <w:rPr>
          <w:rFonts w:ascii="Arial" w:hAnsi="Arial" w:eastAsia="Arial"/>
          <w:b w:val="0"/>
          <w:color w:val="000000"/>
          <w:sz w:val="40"/>
        </w:rPr>
        <w:t>Papers and Architecture Queue</w:t>
      </w:r>
    </w:p>
    <w:p>
      <w:pPr>
        <w:spacing w:after="160" w:line="276" w:lineRule="auto"/>
      </w:pPr>
      <w:r>
        <w:rPr>
          <w:rFonts w:ascii="Arial" w:hAnsi="Arial" w:eastAsia="Arial"/>
          <w:color w:val="000000"/>
        </w:rPr>
        <w:t>Paper 2405.10467 is a seed reference to review. The first task is not to force it into the product. The first task is to read it, extract the architectural relevance, and decide whether it informs the agent harness, task decomposition, evaluation, or communication protocol.</w:t>
      </w:r>
    </w:p>
    <w:p>
      <w:pPr>
        <w:pStyle w:val="ListBullet"/>
        <w:spacing w:after="80" w:line="276" w:lineRule="auto"/>
      </w:pPr>
      <w:r>
        <w:rPr>
          <w:rFonts w:ascii="Arial" w:hAnsi="Arial" w:eastAsia="Arial"/>
          <w:color w:val="000000"/>
        </w:rPr>
        <w:t>Create a paper note template: claim, mechanism, relevance, implementation idea, risk, and citation.</w:t>
      </w:r>
    </w:p>
    <w:p>
      <w:pPr>
        <w:pStyle w:val="ListBullet"/>
        <w:spacing w:after="80" w:line="276" w:lineRule="auto"/>
      </w:pPr>
      <w:r>
        <w:rPr>
          <w:rFonts w:ascii="Arial" w:hAnsi="Arial" w:eastAsia="Arial"/>
          <w:color w:val="000000"/>
        </w:rPr>
        <w:t>Maintain an architecture decision record for agent communication, state, model routing, and approval gates.</w:t>
      </w:r>
    </w:p>
    <w:p>
      <w:pPr>
        <w:pStyle w:val="ListBullet"/>
        <w:spacing w:after="80" w:line="276" w:lineRule="auto"/>
      </w:pPr>
      <w:r>
        <w:rPr>
          <w:rFonts w:ascii="Arial" w:hAnsi="Arial" w:eastAsia="Arial"/>
          <w:color w:val="000000"/>
        </w:rPr>
        <w:t>Prefer boring infrastructure first: task queues, structured artifacts, logs, retries, and deterministic QA.</w:t>
      </w:r>
    </w:p>
    <w:p>
      <w:pPr>
        <w:pStyle w:val="Heading1"/>
        <w:keepNext/>
        <w:spacing w:before="400" w:after="120"/>
      </w:pPr>
      <w:r>
        <w:rPr>
          <w:rFonts w:ascii="Arial" w:hAnsi="Arial" w:eastAsia="Arial"/>
          <w:b w:val="0"/>
          <w:color w:val="000000"/>
          <w:sz w:val="40"/>
        </w:rPr>
        <w:t>Teammate Execution Split</w:t>
      </w:r>
    </w:p>
    <w:tbl>
      <w:tblPr>
        <w:tblW w:type="dxa" w:w="9360"/>
        <w:jc w:val="left"/>
        <w:tblLayout w:type="fixed"/>
        <w:tblLook w:firstColumn="1" w:firstRow="1" w:lastColumn="0" w:lastRow="0" w:noHBand="0" w:noVBand="1" w:val="04A0"/>
        <w:tblBorders>
          <w:top w:val="single" w:sz="4" w:space="0" w:color="DADCE0"/>
          <w:left w:val="single" w:sz="4" w:space="0" w:color="DADCE0"/>
          <w:bottom w:val="single" w:sz="4" w:space="0" w:color="DADCE0"/>
          <w:right w:val="single" w:sz="4" w:space="0" w:color="DADCE0"/>
          <w:insideH w:val="single" w:sz="4" w:space="0" w:color="DADCE0"/>
          <w:insideV w:val="single" w:sz="4" w:space="0" w:color="DADCE0"/>
        </w:tblBorders>
      </w:tblPr>
      <w:tblGrid>
        <w:gridCol w:w="4680"/>
        <w:gridCol w:w="4680"/>
      </w:tblGrid>
      <w:tr>
        <w:tc>
          <w:tcPr>
            <w:tcW w:type="dxa" w:w="2088"/>
            <w:tcMar>
              <w:top w:w="80" w:type="dxa"/>
              <w:start w:w="120" w:type="dxa"/>
              <w:bottom w:w="80" w:type="dxa"/>
              <w:end w:w="120" w:type="dxa"/>
            </w:tcMar>
            <w:vAlign w:val="center"/>
            <w:shd w:fill="FFFFFF"/>
          </w:tcPr>
          <w:p>
            <w:pPr>
              <w:spacing w:after="0"/>
            </w:pPr>
            <w:r>
              <w:rPr>
                <w:rFonts w:ascii="Arial" w:hAnsi="Arial" w:eastAsia="Arial"/>
                <w:b/>
                <w:color w:val="000000"/>
                <w:sz w:val="20"/>
              </w:rPr>
              <w:t>Owner</w:t>
            </w:r>
          </w:p>
        </w:tc>
        <w:tc>
          <w:tcPr>
            <w:tcW w:type="dxa" w:w="7272"/>
            <w:tcMar>
              <w:top w:w="80" w:type="dxa"/>
              <w:start w:w="120" w:type="dxa"/>
              <w:bottom w:w="80" w:type="dxa"/>
              <w:end w:w="120" w:type="dxa"/>
            </w:tcMar>
            <w:vAlign w:val="center"/>
            <w:shd w:fill="FFFFFF"/>
          </w:tcPr>
          <w:p>
            <w:pPr>
              <w:spacing w:after="0"/>
            </w:pPr>
            <w:r>
              <w:rPr>
                <w:rFonts w:ascii="Arial" w:hAnsi="Arial" w:eastAsia="Arial"/>
                <w:b/>
                <w:color w:val="000000"/>
                <w:sz w:val="20"/>
              </w:rPr>
              <w:t>Responsibility</w:t>
            </w:r>
          </w:p>
        </w:tc>
        <w:trPr>
          <w:tblHeader/>
        </w:trPr>
      </w:tr>
      <w:tr>
        <w:tc>
          <w:tcPr>
            <w:tcW w:type="dxa" w:w="2088"/>
            <w:tcMar>
              <w:top w:w="80" w:type="dxa"/>
              <w:start w:w="120" w:type="dxa"/>
              <w:bottom w:w="80" w:type="dxa"/>
              <w:end w:w="120" w:type="dxa"/>
            </w:tcMar>
            <w:vAlign w:val="center"/>
          </w:tcPr>
          <w:p>
            <w:pPr>
              <w:spacing w:after="0" w:line="276" w:lineRule="auto"/>
            </w:pPr>
            <w:r>
              <w:rPr>
                <w:rFonts w:ascii="Arial" w:hAnsi="Arial" w:eastAsia="Arial"/>
                <w:color w:val="000000"/>
                <w:sz w:val="20"/>
              </w:rPr>
              <w:t>You</w:t>
            </w:r>
          </w:p>
        </w:tc>
        <w:tc>
          <w:tcPr>
            <w:tcW w:type="dxa" w:w="7272"/>
            <w:tcMar>
              <w:top w:w="80" w:type="dxa"/>
              <w:start w:w="120" w:type="dxa"/>
              <w:bottom w:w="80" w:type="dxa"/>
              <w:end w:w="120" w:type="dxa"/>
            </w:tcMar>
            <w:vAlign w:val="center"/>
          </w:tcPr>
          <w:p>
            <w:pPr>
              <w:spacing w:after="0" w:line="276" w:lineRule="auto"/>
            </w:pPr>
            <w:r>
              <w:rPr>
                <w:rFonts w:ascii="Arial" w:hAnsi="Arial" w:eastAsia="Arial"/>
                <w:color w:val="000000"/>
                <w:sz w:val="20"/>
              </w:rPr>
              <w:t>Product direction, target lanes, taste, voice approval, real outreach review, and success criteria.</w:t>
            </w:r>
          </w:p>
        </w:tc>
      </w:tr>
      <w:tr>
        <w:tc>
          <w:tcPr>
            <w:tcW w:type="dxa" w:w="2088"/>
            <w:tcMar>
              <w:top w:w="80" w:type="dxa"/>
              <w:start w:w="120" w:type="dxa"/>
              <w:bottom w:w="80" w:type="dxa"/>
              <w:end w:w="120" w:type="dxa"/>
            </w:tcMar>
            <w:vAlign w:val="center"/>
          </w:tcPr>
          <w:p>
            <w:pPr>
              <w:spacing w:after="0" w:line="276" w:lineRule="auto"/>
            </w:pPr>
            <w:r>
              <w:rPr>
                <w:rFonts w:ascii="Arial" w:hAnsi="Arial" w:eastAsia="Arial"/>
                <w:color w:val="000000"/>
                <w:sz w:val="20"/>
              </w:rPr>
              <w:t>Teammate</w:t>
            </w:r>
          </w:p>
        </w:tc>
        <w:tc>
          <w:tcPr>
            <w:tcW w:type="dxa" w:w="7272"/>
            <w:tcMar>
              <w:top w:w="80" w:type="dxa"/>
              <w:start w:w="120" w:type="dxa"/>
              <w:bottom w:w="80" w:type="dxa"/>
              <w:end w:w="120" w:type="dxa"/>
            </w:tcMar>
            <w:vAlign w:val="center"/>
          </w:tcPr>
          <w:p>
            <w:pPr>
              <w:spacing w:after="0" w:line="276" w:lineRule="auto"/>
            </w:pPr>
            <w:r>
              <w:rPr>
                <w:rFonts w:ascii="Arial" w:hAnsi="Arial" w:eastAsia="Arial"/>
                <w:color w:val="000000"/>
                <w:sz w:val="20"/>
              </w:rPr>
              <w:t>Data model, agent harness, connector plumbing, local UI or tracker, logging, and cost controls.</w:t>
            </w:r>
          </w:p>
        </w:tc>
      </w:tr>
      <w:tr>
        <w:tc>
          <w:tcPr>
            <w:tcW w:type="dxa" w:w="2088"/>
            <w:tcMar>
              <w:top w:w="80" w:type="dxa"/>
              <w:start w:w="120" w:type="dxa"/>
              <w:bottom w:w="80" w:type="dxa"/>
              <w:end w:w="120" w:type="dxa"/>
            </w:tcMar>
            <w:vAlign w:val="center"/>
          </w:tcPr>
          <w:p>
            <w:pPr>
              <w:spacing w:after="0" w:line="276" w:lineRule="auto"/>
            </w:pPr>
            <w:r>
              <w:rPr>
                <w:rFonts w:ascii="Arial" w:hAnsi="Arial" w:eastAsia="Arial"/>
                <w:color w:val="000000"/>
                <w:sz w:val="20"/>
              </w:rPr>
              <w:t>Codex / agent system</w:t>
            </w:r>
          </w:p>
        </w:tc>
        <w:tc>
          <w:tcPr>
            <w:tcW w:type="dxa" w:w="7272"/>
            <w:tcMar>
              <w:top w:w="80" w:type="dxa"/>
              <w:start w:w="120" w:type="dxa"/>
              <w:bottom w:w="80" w:type="dxa"/>
              <w:end w:w="120" w:type="dxa"/>
            </w:tcMar>
            <w:vAlign w:val="center"/>
          </w:tcPr>
          <w:p>
            <w:pPr>
              <w:spacing w:after="0" w:line="276" w:lineRule="auto"/>
            </w:pPr>
            <w:r>
              <w:rPr>
                <w:rFonts w:ascii="Arial" w:hAnsi="Arial" w:eastAsia="Arial"/>
                <w:color w:val="000000"/>
                <w:sz w:val="20"/>
              </w:rPr>
              <w:t>Research assistance, packet drafting, document generation, verification, browser actions after approval.</w:t>
            </w:r>
          </w:p>
        </w:tc>
      </w:tr>
      <w:tr>
        <w:tc>
          <w:tcPr>
            <w:tcW w:type="dxa" w:w="2088"/>
            <w:tcMar>
              <w:top w:w="80" w:type="dxa"/>
              <w:start w:w="120" w:type="dxa"/>
              <w:bottom w:w="80" w:type="dxa"/>
              <w:end w:w="120" w:type="dxa"/>
            </w:tcMar>
            <w:vAlign w:val="center"/>
          </w:tcPr>
          <w:p>
            <w:pPr>
              <w:spacing w:after="0" w:line="276" w:lineRule="auto"/>
            </w:pPr>
            <w:r>
              <w:rPr>
                <w:rFonts w:ascii="Arial" w:hAnsi="Arial" w:eastAsia="Arial"/>
                <w:color w:val="000000"/>
                <w:sz w:val="20"/>
              </w:rPr>
              <w:t>Together</w:t>
            </w:r>
          </w:p>
        </w:tc>
        <w:tc>
          <w:tcPr>
            <w:tcW w:type="dxa" w:w="7272"/>
            <w:tcMar>
              <w:top w:w="80" w:type="dxa"/>
              <w:start w:w="120" w:type="dxa"/>
              <w:bottom w:w="80" w:type="dxa"/>
              <w:end w:w="120" w:type="dxa"/>
            </w:tcMar>
            <w:vAlign w:val="center"/>
          </w:tcPr>
          <w:p>
            <w:pPr>
              <w:spacing w:after="0" w:line="276" w:lineRule="auto"/>
            </w:pPr>
            <w:r>
              <w:rPr>
                <w:rFonts w:ascii="Arial" w:hAnsi="Arial" w:eastAsia="Arial"/>
                <w:color w:val="000000"/>
                <w:sz w:val="20"/>
              </w:rPr>
              <w:t>Review first 20 packets, refine scoring, decide what becomes automated, and remove low-signal steps.</w:t>
            </w:r>
          </w:p>
        </w:tc>
      </w:tr>
    </w:tbl>
    <w:p>
      <w:pPr>
        <w:spacing w:after="40"/>
      </w:pPr>
    </w:p>
    <w:p>
      <w:pPr>
        <w:pStyle w:val="Heading1"/>
        <w:keepNext/>
        <w:spacing w:before="400" w:after="120"/>
      </w:pPr>
      <w:r>
        <w:rPr>
          <w:rFonts w:ascii="Arial" w:hAnsi="Arial" w:eastAsia="Arial"/>
          <w:b w:val="0"/>
          <w:color w:val="000000"/>
          <w:sz w:val="40"/>
        </w:rPr>
        <w:t>First MVP Definition</w:t>
      </w:r>
    </w:p>
    <w:p>
      <w:pPr>
        <w:spacing w:after="160" w:line="276" w:lineRule="auto"/>
      </w:pPr>
      <w:r>
        <w:rPr>
          <w:rFonts w:ascii="Arial" w:hAnsi="Arial" w:eastAsia="Arial"/>
          <w:color w:val="000000"/>
        </w:rPr>
        <w:t>The MVP should prove that the system can create better conversations than a normal job search. Keep the first lane narrow: AI infrastructure and inference systems.</w:t>
      </w:r>
    </w:p>
    <w:p>
      <w:pPr>
        <w:pStyle w:val="ListBullet"/>
        <w:spacing w:after="80" w:line="276" w:lineRule="auto"/>
      </w:pPr>
      <w:r>
        <w:rPr>
          <w:rFonts w:ascii="Arial" w:hAnsi="Arial" w:eastAsia="Arial"/>
          <w:color w:val="000000"/>
        </w:rPr>
        <w:t>20 sourced companies in the target lane.</w:t>
      </w:r>
    </w:p>
    <w:p>
      <w:pPr>
        <w:pStyle w:val="ListBullet"/>
        <w:spacing w:after="80" w:line="276" w:lineRule="auto"/>
      </w:pPr>
      <w:r>
        <w:rPr>
          <w:rFonts w:ascii="Arial" w:hAnsi="Arial" w:eastAsia="Arial"/>
          <w:color w:val="000000"/>
        </w:rPr>
        <w:t>5 prioritized company packets.</w:t>
      </w:r>
    </w:p>
    <w:p>
      <w:pPr>
        <w:pStyle w:val="ListBullet"/>
        <w:spacing w:after="80" w:line="276" w:lineRule="auto"/>
      </w:pPr>
      <w:r>
        <w:rPr>
          <w:rFonts w:ascii="Arial" w:hAnsi="Arial" w:eastAsia="Arial"/>
          <w:color w:val="000000"/>
        </w:rPr>
        <w:t>3 people per company with source-backed relevance.</w:t>
      </w:r>
    </w:p>
    <w:p>
      <w:pPr>
        <w:pStyle w:val="ListBullet"/>
        <w:spacing w:after="80" w:line="276" w:lineRule="auto"/>
      </w:pPr>
      <w:r>
        <w:rPr>
          <w:rFonts w:ascii="Arial" w:hAnsi="Arial" w:eastAsia="Arial"/>
          <w:color w:val="000000"/>
        </w:rPr>
        <w:t>1 one-page technical note per company.</w:t>
      </w:r>
    </w:p>
    <w:p>
      <w:pPr>
        <w:pStyle w:val="ListBullet"/>
        <w:spacing w:after="80" w:line="276" w:lineRule="auto"/>
      </w:pPr>
      <w:r>
        <w:rPr>
          <w:rFonts w:ascii="Arial" w:hAnsi="Arial" w:eastAsia="Arial"/>
          <w:color w:val="000000"/>
        </w:rPr>
        <w:t>2 outreach variants per person.</w:t>
      </w:r>
    </w:p>
    <w:p>
      <w:pPr>
        <w:pStyle w:val="ListBullet"/>
        <w:spacing w:after="80" w:line="276" w:lineRule="auto"/>
      </w:pPr>
      <w:r>
        <w:rPr>
          <w:rFonts w:ascii="Arial" w:hAnsi="Arial" w:eastAsia="Arial"/>
          <w:color w:val="000000"/>
        </w:rPr>
        <w:t>Approval and send tracker.</w:t>
      </w:r>
    </w:p>
    <w:p>
      <w:pPr>
        <w:pStyle w:val="ListBullet"/>
        <w:spacing w:after="80" w:line="276" w:lineRule="auto"/>
      </w:pPr>
      <w:r>
        <w:rPr>
          <w:rFonts w:ascii="Arial" w:hAnsi="Arial" w:eastAsia="Arial"/>
          <w:color w:val="000000"/>
        </w:rPr>
        <w:t>Follow-up reminders and outcome tracking.</w:t>
      </w:r>
    </w:p>
    <w:p>
      <w:pPr>
        <w:pStyle w:val="Heading1"/>
        <w:keepNext/>
        <w:spacing w:before="400" w:after="120"/>
      </w:pPr>
      <w:r>
        <w:rPr>
          <w:rFonts w:ascii="Arial" w:hAnsi="Arial" w:eastAsia="Arial"/>
          <w:b w:val="0"/>
          <w:color w:val="000000"/>
          <w:sz w:val="40"/>
        </w:rPr>
        <w:t>Immediate Next Actions</w:t>
      </w:r>
    </w:p>
    <w:p>
      <w:pPr>
        <w:pStyle w:val="ListNumber"/>
        <w:spacing w:after="80" w:line="276" w:lineRule="auto"/>
      </w:pPr>
      <w:r>
        <w:rPr>
          <w:rFonts w:ascii="Arial" w:hAnsi="Arial" w:eastAsia="Arial"/>
          <w:color w:val="000000"/>
        </w:rPr>
        <w:t>Freeze the target packet format and use Baseten as the gold-standard example.</w:t>
      </w:r>
    </w:p>
    <w:p>
      <w:pPr>
        <w:pStyle w:val="ListNumber"/>
        <w:spacing w:after="80" w:line="276" w:lineRule="auto"/>
      </w:pPr>
      <w:r>
        <w:rPr>
          <w:rFonts w:ascii="Arial" w:hAnsi="Arial" w:eastAsia="Arial"/>
          <w:color w:val="000000"/>
        </w:rPr>
        <w:t>Create packets for Modal, Fireworks, Together, CoreWeave, and Databricks next.</w:t>
      </w:r>
    </w:p>
    <w:p>
      <w:pPr>
        <w:pStyle w:val="ListNumber"/>
        <w:spacing w:after="80" w:line="276" w:lineRule="auto"/>
      </w:pPr>
      <w:r>
        <w:rPr>
          <w:rFonts w:ascii="Arial" w:hAnsi="Arial" w:eastAsia="Arial"/>
          <w:color w:val="000000"/>
        </w:rPr>
        <w:t>Build the first tracker schema with companies, people, problems, packets, messages, approvals, and follow-ups.</w:t>
      </w:r>
    </w:p>
    <w:p>
      <w:pPr>
        <w:pStyle w:val="ListNumber"/>
        <w:spacing w:after="80" w:line="276" w:lineRule="auto"/>
      </w:pPr>
      <w:r>
        <w:rPr>
          <w:rFonts w:ascii="Arial" w:hAnsi="Arial" w:eastAsia="Arial"/>
          <w:color w:val="000000"/>
        </w:rPr>
        <w:t>Review paper 2405.10467 and write a one-page relevance note.</w:t>
      </w:r>
    </w:p>
    <w:p>
      <w:pPr>
        <w:pStyle w:val="ListNumber"/>
        <w:spacing w:after="80" w:line="276" w:lineRule="auto"/>
      </w:pPr>
      <w:r>
        <w:rPr>
          <w:rFonts w:ascii="Arial" w:hAnsi="Arial" w:eastAsia="Arial"/>
          <w:color w:val="000000"/>
        </w:rPr>
        <w:t>Move secrets out of documents. Rotate any key that was pasted into notes or chat.</w:t>
      </w:r>
    </w:p>
    <w:p>
      <w:pPr>
        <w:pStyle w:val="ListNumber"/>
        <w:spacing w:after="80" w:line="276" w:lineRule="auto"/>
      </w:pPr>
      <w:r>
        <w:rPr>
          <w:rFonts w:ascii="Arial" w:hAnsi="Arial" w:eastAsia="Arial"/>
          <w:color w:val="000000"/>
        </w:rPr>
        <w:t>Run the first 10-packet manual sprint before automating sends.</w:t>
      </w:r>
    </w:p>
    <w:p>
      <w:pPr>
        <w:pStyle w:val="Heading1"/>
        <w:keepNext/>
        <w:spacing w:before="400" w:after="120"/>
      </w:pPr>
      <w:r>
        <w:rPr>
          <w:rFonts w:ascii="Arial" w:hAnsi="Arial" w:eastAsia="Arial"/>
          <w:b w:val="0"/>
          <w:color w:val="000000"/>
          <w:sz w:val="40"/>
        </w:rPr>
        <w:t>Working Name</w:t>
      </w:r>
    </w:p>
    <w:p>
      <w:pPr>
        <w:spacing w:after="160" w:line="276" w:lineRule="auto"/>
      </w:pPr>
      <w:r>
        <w:rPr>
          <w:rFonts w:ascii="Arial" w:hAnsi="Arial" w:eastAsia="Arial"/>
          <w:color w:val="000000"/>
        </w:rPr>
        <w:t>Opportunity Intelligence OS is the neutral working name. Better product names can come later. The important thing now is the operating loop: source, understand, map proof, write, verify, approve, send, and learn.</w:t>
      </w:r>
    </w:p>
    <w:sectPr w:rsidR="00FC693F" w:rsidRPr="0006063C" w:rsidSect="0003461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76" w:lineRule="auto"/>
    </w:pPr>
    <w:rPr>
      <w:rFonts w:ascii="Arial" w:hAnsi="Arial" w:eastAsia="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rial" w:hAnsi="Arial" w:eastAsia="Arial"/>
      <w:color w:val="00000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Arial" w:hAnsi="Arial" w:eastAsia="Arial"/>
      <w:color w:val="00000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