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LoRA Deployment Decision and Validation Layer</w:t>
      </w:r>
    </w:p>
    <w:p>
      <w:pPr>
        <w:spacing w:after="0"/>
      </w:pPr>
      <w:r>
        <w:rPr>
          <w:rFonts w:ascii="Arial" w:hAnsi="Arial" w:eastAsia="Arial"/>
          <w:color w:val="000000"/>
          <w:sz w:val="16"/>
        </w:rPr>
        <w:t>Company: Fireworks AI</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Fireworks' LoRA deployment documentation exposes a practical production decision: live merge and multi-LoRA serve different operational needs. Live merge is strongest when one fine-tuned model needs maximum latency and throughput. Multi-LoRA is stronger when many variants share a base deployment, especially for experimentation, customer-specific adapters, and A/B testing. The tradeoff is that dynamic adapter application introduces overhead and compatibility constraints.</w:t>
      </w:r>
    </w:p>
    <w:p>
      <w:r>
        <w:rPr>
          <w:rFonts w:ascii="Arial" w:hAnsi="Arial" w:eastAsia="Arial"/>
          <w:color w:val="000000"/>
          <w:sz w:val="18"/>
        </w:rPr>
        <w:t>I would build a LoRA deployment decision and validation layer. The goal is to help a user decide, before deployment, whether a fine-tuned model should be live-merged, served through multi-LoRA, or held until requirements are clearer. The contribution is narrow but useful: turn deployment method selection into an explicit, auditable decision with compatibility checks, evaluation requirements, and rollout telemetry.</w:t>
      </w:r>
    </w:p>
    <w:p>
      <w:pPr>
        <w:pStyle w:val="Heading2"/>
      </w:pPr>
      <w:r>
        <w:rPr>
          <w:rFonts w:ascii="Arial" w:hAnsi="Arial" w:eastAsia="Arial"/>
          <w:color w:val="000000"/>
        </w:rPr>
        <w:t>Problem</w:t>
      </w:r>
    </w:p>
    <w:p>
      <w:r>
        <w:rPr>
          <w:rFonts w:ascii="Arial" w:hAnsi="Arial" w:eastAsia="Arial"/>
          <w:color w:val="000000"/>
          <w:sz w:val="18"/>
        </w:rPr>
        <w:t>Fine-tuning is only useful if the resulting model can move into production safely. The deployment path depends on adapter count, traffic distribution, concurrency, latency target, throughput requirements, precision constraints, and how quickly the team needs to iterate. A single production adapter with a tight latency target points toward live merge. Many adapters sharing a base model with experimentation needs point toward multi-LoRA. The ambiguous cases are where users need guidance.</w:t>
      </w:r>
    </w:p>
    <w:p>
      <w:r>
        <w:rPr>
          <w:rFonts w:ascii="Arial" w:hAnsi="Arial" w:eastAsia="Arial"/>
          <w:color w:val="000000"/>
          <w:sz w:val="18"/>
        </w:rPr>
        <w:t>Without a decision layer, teams can choose a path for the wrong reason. They might live-merge too early and slow down experimentation, or use multi-LoRA where latency and throughput requirements need a dedicated merged deployment. They may also miss compatibility issues around base-model precision, target modules, or addon support before rollout.</w:t>
      </w:r>
    </w:p>
    <w:p>
      <w:pPr>
        <w:pStyle w:val="Heading2"/>
      </w:pPr>
      <w:r>
        <w:rPr>
          <w:rFonts w:ascii="Arial" w:hAnsi="Arial" w:eastAsia="Arial"/>
          <w:color w:val="000000"/>
        </w:rPr>
        <w:t>Proposed Build</w:t>
      </w:r>
    </w:p>
    <w:p>
      <w:r>
        <w:rPr>
          <w:rFonts w:ascii="Arial" w:hAnsi="Arial" w:eastAsia="Arial"/>
          <w:color w:val="000000"/>
          <w:sz w:val="18"/>
        </w:rPr>
        <w:t>I would build a CLI or notebook that encodes the live-merge vs multi-LoRA decision as a structured workflow.</w:t>
      </w:r>
    </w:p>
    <w:p>
      <w:r>
        <w:rPr>
          <w:rFonts w:ascii="Arial" w:hAnsi="Arial" w:eastAsia="Arial"/>
          <w:color w:val="000000"/>
          <w:sz w:val="18"/>
        </w:rPr>
        <w:t>Inputs:</w:t>
      </w:r>
    </w:p>
    <w:p>
      <w:pPr>
        <w:spacing w:after="16"/>
        <w:ind w:left="216"/>
      </w:pPr>
      <w:r>
        <w:rPr>
          <w:rFonts w:ascii="Arial" w:hAnsi="Arial" w:eastAsia="Arial"/>
          <w:color w:val="000000"/>
          <w:sz w:val="17"/>
        </w:rPr>
        <w:t>1. Number of adapters and expected traffic per adapter.</w:t>
      </w:r>
    </w:p>
    <w:p>
      <w:pPr>
        <w:spacing w:after="16"/>
        <w:ind w:left="216"/>
      </w:pPr>
      <w:r>
        <w:rPr>
          <w:rFonts w:ascii="Arial" w:hAnsi="Arial" w:eastAsia="Arial"/>
          <w:color w:val="000000"/>
          <w:sz w:val="17"/>
        </w:rPr>
        <w:t>2. Latency, throughput, and concurrency requirements.</w:t>
      </w:r>
    </w:p>
    <w:p>
      <w:pPr>
        <w:spacing w:after="16"/>
        <w:ind w:left="216"/>
      </w:pPr>
      <w:r>
        <w:rPr>
          <w:rFonts w:ascii="Arial" w:hAnsi="Arial" w:eastAsia="Arial"/>
          <w:color w:val="000000"/>
          <w:sz w:val="17"/>
        </w:rPr>
        <w:t>3. Need for A/B testing, customer-specific routing, or rapid iteration.</w:t>
      </w:r>
    </w:p>
    <w:p>
      <w:pPr>
        <w:spacing w:after="16"/>
        <w:ind w:left="216"/>
      </w:pPr>
      <w:r>
        <w:rPr>
          <w:rFonts w:ascii="Arial" w:hAnsi="Arial" w:eastAsia="Arial"/>
          <w:color w:val="000000"/>
          <w:sz w:val="17"/>
        </w:rPr>
        <w:t>4. Base model, precision, and addon compatibility assumptions.</w:t>
      </w:r>
    </w:p>
    <w:p>
      <w:pPr>
        <w:spacing w:after="16"/>
        <w:ind w:left="216"/>
      </w:pPr>
      <w:r>
        <w:rPr>
          <w:rFonts w:ascii="Arial" w:hAnsi="Arial" w:eastAsia="Arial"/>
          <w:color w:val="000000"/>
          <w:sz w:val="17"/>
        </w:rPr>
        <w:t>5. Evaluation requirements before promotion.</w:t>
      </w:r>
    </w:p>
    <w:p>
      <w:pPr>
        <w:spacing w:after="16"/>
        <w:ind w:left="216"/>
      </w:pPr>
      <w:r>
        <w:rPr>
          <w:rFonts w:ascii="Arial" w:hAnsi="Arial" w:eastAsia="Arial"/>
          <w:color w:val="000000"/>
          <w:sz w:val="17"/>
        </w:rPr>
        <w:t>6. Rollout risk tolerance and observability needs.</w:t>
      </w:r>
    </w:p>
    <w:p>
      <w:r>
        <w:rPr>
          <w:rFonts w:ascii="Arial" w:hAnsi="Arial" w:eastAsia="Arial"/>
          <w:color w:val="000000"/>
          <w:sz w:val="18"/>
        </w:rPr>
        <w:t>Outputs:</w:t>
      </w:r>
    </w:p>
    <w:p>
      <w:pPr>
        <w:spacing w:after="16"/>
        <w:ind w:left="216"/>
      </w:pPr>
      <w:r>
        <w:rPr>
          <w:rFonts w:ascii="Arial" w:hAnsi="Arial" w:eastAsia="Arial"/>
          <w:color w:val="000000"/>
          <w:sz w:val="17"/>
        </w:rPr>
        <w:t>1. Recommendation: live merge, multi-LoRA, or defer.</w:t>
      </w:r>
    </w:p>
    <w:p>
      <w:pPr>
        <w:spacing w:after="16"/>
        <w:ind w:left="216"/>
      </w:pPr>
      <w:r>
        <w:rPr>
          <w:rFonts w:ascii="Arial" w:hAnsi="Arial" w:eastAsia="Arial"/>
          <w:color w:val="000000"/>
          <w:sz w:val="17"/>
        </w:rPr>
        <w:t>2. Reasoning in terms of latency, throughput, cost, and iteration speed.</w:t>
      </w:r>
    </w:p>
    <w:p>
      <w:pPr>
        <w:spacing w:after="16"/>
        <w:ind w:left="216"/>
      </w:pPr>
      <w:r>
        <w:rPr>
          <w:rFonts w:ascii="Arial" w:hAnsi="Arial" w:eastAsia="Arial"/>
          <w:color w:val="000000"/>
          <w:sz w:val="17"/>
        </w:rPr>
        <w:t>3. Compatibility checklist before deployment.</w:t>
      </w:r>
    </w:p>
    <w:p>
      <w:pPr>
        <w:spacing w:after="16"/>
        <w:ind w:left="216"/>
      </w:pPr>
      <w:r>
        <w:rPr>
          <w:rFonts w:ascii="Arial" w:hAnsi="Arial" w:eastAsia="Arial"/>
          <w:color w:val="000000"/>
          <w:sz w:val="17"/>
        </w:rPr>
        <w:t>4. Evaluation checklist before promotion.</w:t>
      </w:r>
    </w:p>
    <w:p>
      <w:pPr>
        <w:spacing w:after="16"/>
        <w:ind w:left="216"/>
      </w:pPr>
      <w:r>
        <w:rPr>
          <w:rFonts w:ascii="Arial" w:hAnsi="Arial" w:eastAsia="Arial"/>
          <w:color w:val="000000"/>
          <w:sz w:val="17"/>
        </w:rPr>
        <w:t>5. Observability fields to log during rollout.</w:t>
      </w:r>
    </w:p>
    <w:p>
      <w:pPr>
        <w:spacing w:after="16"/>
        <w:ind w:left="216"/>
      </w:pPr>
      <w:r>
        <w:rPr>
          <w:rFonts w:ascii="Arial" w:hAnsi="Arial" w:eastAsia="Arial"/>
          <w:color w:val="000000"/>
          <w:sz w:val="17"/>
        </w:rPr>
        <w:t>6. Failure cases that should block deployment.</w:t>
      </w:r>
    </w:p>
    <w:p>
      <w:r>
        <w:rPr>
          <w:rFonts w:ascii="Arial" w:hAnsi="Arial" w:eastAsia="Arial"/>
          <w:color w:val="000000"/>
          <w:sz w:val="18"/>
        </w:rPr>
        <w:t>The tool would not pretend to know Fireworks-internal scheduling or exact throughput curves. It would make assumptions visible and organize the decision in a way that a performance or post-training engineer can critique.</w:t>
      </w:r>
    </w:p>
    <w:p>
      <w:pPr>
        <w:pStyle w:val="Heading2"/>
      </w:pPr>
      <w:r>
        <w:rPr>
          <w:rFonts w:ascii="Arial" w:hAnsi="Arial" w:eastAsia="Arial"/>
          <w:color w:val="000000"/>
        </w:rPr>
        <w:t>Execution Plan</w:t>
      </w:r>
    </w:p>
    <w:p>
      <w:r>
        <w:rPr>
          <w:rFonts w:ascii="Arial" w:hAnsi="Arial" w:eastAsia="Arial"/>
          <w:color w:val="000000"/>
          <w:sz w:val="18"/>
        </w:rPr>
        <w:t>Week 1 would implement the decision logic from public Fireworks documentation and create four example scenarios: one production adapter, many customer adapters, a high-concurrency experiment, and a compatibility issue involving base-model or addon constraints. Week 2 would add rollout checklists, validation outputs, example logs, and a README explaining the assumptions behind each recommendation. Stretch work would add a mock traffic simulator that shows when increasing adapter count or concurrency changes the recommendation.</w:t>
      </w:r>
    </w:p>
    <w:p>
      <w:r>
        <w:rPr>
          <w:rFonts w:ascii="Arial" w:hAnsi="Arial" w:eastAsia="Arial"/>
          <w:color w:val="000000"/>
          <w:sz w:val="18"/>
        </w:rPr>
        <w:t>The final artifact would be a small repository with deterministic examples, a clear README, and sample outputs that can be read without running the code. The technical note would be useful even if the exact decision thresholds are later revised by someone with internal platform knowledge.</w:t>
      </w:r>
    </w:p>
    <w:p>
      <w:pPr>
        <w:pStyle w:val="Heading2"/>
      </w:pPr>
      <w:r>
        <w:rPr>
          <w:rFonts w:ascii="Arial" w:hAnsi="Arial" w:eastAsia="Arial"/>
          <w:color w:val="000000"/>
        </w:rPr>
        <w:t>Success Criteria</w:t>
      </w:r>
    </w:p>
    <w:p>
      <w:r>
        <w:rPr>
          <w:rFonts w:ascii="Arial" w:hAnsi="Arial" w:eastAsia="Arial"/>
          <w:color w:val="000000"/>
          <w:sz w:val="18"/>
        </w:rPr>
        <w:t>The tool should produce deterministic recommendations from explicit inputs. It should catch compatibility risks before rollout. It should explain the tradeoff in terms of latency, throughput, cost, and iteration speed. It should output an evaluation checklist that can be used before model promotion. A Fireworks engineer should be able to mark which assumptions are wrong, which are useful, and what data would make the recommendation stronger.</w:t>
      </w:r>
    </w:p>
    <w:p>
      <w:pPr>
        <w:pStyle w:val="Heading2"/>
      </w:pPr>
      <w:r>
        <w:rPr>
          <w:rFonts w:ascii="Arial" w:hAnsi="Arial" w:eastAsia="Arial"/>
          <w:color w:val="000000"/>
        </w:rPr>
        <w:t>Relevant Background</w:t>
      </w:r>
    </w:p>
    <w:p>
      <w:r>
        <w:rPr>
          <w:rFonts w:ascii="Arial" w:hAnsi="Arial" w:eastAsia="Arial"/>
          <w:color w:val="000000"/>
          <w:sz w:val="18"/>
        </w:rPr>
        <w:t>My CFN evaluation work maps to this through locked protocols, artifact tracking, calibration, and stability checks before making claims. PolyQuant maps through revision history and controlled promotion logic. I would position this as evaluation and control-plane discipline, not prior Fireworks-specific deployment experience.</w:t>
      </w:r>
    </w:p>
    <w:p>
      <w:pPr>
        <w:pStyle w:val="Heading2"/>
      </w:pPr>
      <w:r>
        <w:rPr>
          <w:rFonts w:ascii="Arial" w:hAnsi="Arial" w:eastAsia="Arial"/>
          <w:color w:val="000000"/>
        </w:rPr>
        <w:t>Outreach Ask</w:t>
      </w:r>
    </w:p>
    <w:p>
      <w:r>
        <w:rPr>
          <w:rFonts w:ascii="Arial" w:hAnsi="Arial" w:eastAsia="Arial"/>
          <w:color w:val="000000"/>
          <w:sz w:val="18"/>
        </w:rPr>
        <w:t>I would ask whether this decision layer maps to real customer confusion around live merge vs multi-LoRA, and who is closest to inference, performance optimization, or post-training product for feedback.</w:t>
      </w:r>
    </w:p>
    <w:p>
      <w:pPr>
        <w:spacing w:before="40" w:after="0"/>
      </w:pPr>
      <w:r>
        <w:rPr>
          <w:rFonts w:ascii="Arial" w:hAnsi="Arial" w:eastAsia="Arial"/>
          <w:color w:val="000000"/>
          <w:sz w:val="14"/>
        </w:rPr>
        <w:t>Sources: https://docs.fireworks.ai/fine-tuning/deploying-loras ; https://fireworks.ai/blog/fine-tuning-bottlenecks ; https://docs.fireworks.ai/serverless/overview ; https://fireworks.ai/team ; https://fireworks.ai/careers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