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b/>
          <w:i w:val="0"/>
          <w:color w:val="24734A"/>
          <w:sz w:val="19"/>
        </w:rPr>
        <w:t>EXPERIMENT REPORT</w:t>
      </w:r>
    </w:p>
    <w:p>
      <w:pPr>
        <w:spacing w:before="0" w:after="60"/>
      </w:pPr>
      <w:r>
        <w:rPr>
          <w:rFonts w:ascii="Calibri" w:hAnsi="Calibri"/>
          <w:b/>
          <w:i w:val="0"/>
          <w:color w:val="1F4D78"/>
          <w:sz w:val="50"/>
        </w:rPr>
        <w:t>KinyaLM Project Report</w:t>
      </w:r>
    </w:p>
    <w:p>
      <w:pPr>
        <w:spacing w:before="0" w:after="280"/>
      </w:pPr>
      <w:r>
        <w:rPr>
          <w:rFonts w:ascii="Calibri" w:hAnsi="Calibri"/>
          <w:b w:val="0"/>
          <w:i w:val="0"/>
          <w:color w:val="64748B"/>
          <w:sz w:val="28"/>
        </w:rPr>
        <w:t>Performance of the 1,560 cumulative-step targeted adapter</w:t>
      </w:r>
    </w:p>
    <w:p>
      <w:pPr>
        <w:spacing w:before="0" w:after="40"/>
      </w:pPr>
      <w:r>
        <w:rPr>
          <w:rFonts w:ascii="Calibri" w:hAnsi="Calibri"/>
          <w:b/>
          <w:i w:val="0"/>
          <w:color w:val="1F4D78"/>
          <w:sz w:val="21"/>
        </w:rPr>
        <w:t xml:space="preserve">Date: </w:t>
      </w:r>
      <w:r>
        <w:rPr>
          <w:rFonts w:ascii="Calibri" w:hAnsi="Calibri"/>
          <w:b w:val="0"/>
          <w:i w:val="0"/>
          <w:color w:val="1F2937"/>
          <w:sz w:val="21"/>
        </w:rPr>
        <w:t>August 11, 2026</w:t>
      </w:r>
    </w:p>
    <w:p>
      <w:pPr>
        <w:spacing w:before="0" w:after="40"/>
      </w:pPr>
      <w:r>
        <w:rPr>
          <w:rFonts w:ascii="Calibri" w:hAnsi="Calibri"/>
          <w:b/>
          <w:i w:val="0"/>
          <w:color w:val="1F4D78"/>
          <w:sz w:val="21"/>
        </w:rPr>
        <w:t xml:space="preserve">Status: </w:t>
      </w:r>
      <w:r>
        <w:rPr>
          <w:rFonts w:ascii="Calibri" w:hAnsi="Calibri"/>
          <w:b w:val="0"/>
          <w:i w:val="0"/>
          <w:color w:val="1F2937"/>
          <w:sz w:val="21"/>
        </w:rPr>
        <w:t>Model-assisted development screen complete; native review pending</w:t>
      </w:r>
    </w:p>
    <w:p>
      <w:pPr>
        <w:spacing w:before="0" w:after="40"/>
      </w:pPr>
      <w:r>
        <w:rPr>
          <w:rFonts w:ascii="Calibri" w:hAnsi="Calibri"/>
          <w:b/>
          <w:i w:val="0"/>
          <w:color w:val="1F4D78"/>
          <w:sz w:val="21"/>
        </w:rPr>
        <w:t xml:space="preserve">Model family: </w:t>
      </w:r>
      <w:r>
        <w:rPr>
          <w:rFonts w:ascii="Calibri" w:hAnsi="Calibri"/>
          <w:b w:val="0"/>
          <w:i w:val="0"/>
          <w:color w:val="1F2937"/>
          <w:sz w:val="21"/>
        </w:rPr>
        <w:t>Gemma 4 12B with QLoRA adapters</w:t>
      </w:r>
    </w:p>
    <w:p>
      <w:pPr>
        <w:spacing w:before="0" w:after="40"/>
      </w:pPr>
      <w:r>
        <w:rPr>
          <w:rFonts w:ascii="Calibri" w:hAnsi="Calibri"/>
          <w:b/>
          <w:i w:val="0"/>
          <w:color w:val="1F4D78"/>
          <w:sz w:val="21"/>
        </w:rPr>
        <w:t xml:space="preserve">Evaluation: </w:t>
      </w:r>
      <w:r>
        <w:rPr>
          <w:rFonts w:ascii="Calibri" w:hAnsi="Calibri"/>
          <w:b w:val="0"/>
          <w:i w:val="0"/>
          <w:color w:val="1F2937"/>
          <w:sz w:val="21"/>
        </w:rPr>
        <w:t>150 identical prompts per candidate; model identities hidden</w:t>
      </w:r>
    </w:p>
    <w:p>
      <w:pPr>
        <w:spacing w:before="80" w:after="200" w:line="259" w:lineRule="auto"/>
        <w:ind w:left="187" w:right="115"/>
        <w:shd w:fill="E8EEF5"/>
        <w:pBdr>
          <w:left w:val="single" w:sz="18" w:space="8" w:color="2E74B5"/>
        </w:pBdr>
      </w:pPr>
      <w:r>
        <w:rPr>
          <w:rFonts w:ascii="Calibri" w:hAnsi="Calibri"/>
          <w:b/>
          <w:i w:val="0"/>
          <w:color w:val="2E74B5"/>
          <w:sz w:val="21"/>
        </w:rPr>
        <w:t xml:space="preserve">BOTTOM LINE  </w:t>
      </w:r>
      <w:r>
        <w:rPr>
          <w:rFonts w:ascii="Calibri" w:hAnsi="Calibri"/>
          <w:b w:val="0"/>
          <w:i w:val="0"/>
          <w:color w:val="1F2937"/>
          <w:sz w:val="21"/>
        </w:rPr>
        <w:t>This is the strongest KinyaLM adapter trained so far and it shows clear gains in the skills that received targeted data. It still trails the unchanged Gemma model overall and repeats too often, so it remains a research candidate rather than the final release.</w:t>
      </w:r>
    </w:p>
    <w:p>
      <w:pPr>
        <w:pStyle w:val="Heading1"/>
        <w:keepNext/>
      </w:pPr>
      <w:r>
        <w:t>Executive Summary</w:t>
      </w:r>
    </w:p>
    <w:p>
      <w:pPr/>
      <w:r>
        <w:rPr>
          <w:rFonts w:ascii="Calibri" w:hAnsi="Calibri"/>
          <w:b w:val="0"/>
          <w:i w:val="0"/>
          <w:color w:val="1F2937"/>
          <w:sz w:val="22"/>
        </w:rPr>
        <w:t>The targeted adapter began from the original step-780 KinyaLM adapter and received 780 additional updates on a 3,858-row targeted curriculum. We therefore describe it as the 1,560 cumulative-step adapter. The second stage used a fresh optimizer and learning-rate schedule, so it was a continuation from trained adapter weights rather than one uninterrupted 1,560-step run.</w:t>
      </w:r>
    </w:p>
    <w:p>
      <w:pPr/>
      <w:r>
        <w:rPr>
          <w:rFonts w:ascii="Calibri" w:hAnsi="Calibri"/>
          <w:b w:val="0"/>
          <w:i w:val="0"/>
          <w:color w:val="1F2937"/>
          <w:sz w:val="22"/>
        </w:rPr>
        <w:t>On the same 150-prompt development screen, the targeted adapter passed 28 prompts. That is four more passes than both the source step-780 adapter and the control continuation, which each passed 24. The targeted curriculum therefore produced a measurable improvement over simply continuing training on the original mixture.</w:t>
      </w:r>
    </w:p>
    <w:p>
      <w:pPr/>
      <w:r>
        <w:rPr>
          <w:rFonts w:ascii="Calibri" w:hAnsi="Calibri"/>
          <w:b w:val="0"/>
          <w:i w:val="0"/>
          <w:color w:val="1F2937"/>
          <w:sz w:val="22"/>
        </w:rPr>
        <w:t>The unchanged Gemma base still passed 33 prompts and repeated far less often. The correct conclusion is not that fine-tuning has already beaten Gemma overall. The evidence shows that targeted supervised fine-tuning can strengthen selected Kinyarwanda abilities, while the present data and training recipe still damage other conversational behaviors.</w:t>
      </w:r>
    </w:p>
    <w:p>
      <w:pPr>
        <w:pStyle w:val="Heading1"/>
        <w:keepNext/>
        <w:pageBreakBefore/>
      </w:pPr>
      <w:r>
        <w:t>How the Experiment Reached This Point</w:t>
      </w:r>
    </w:p>
    <w:p>
      <w:pPr>
        <w:pStyle w:val="Heading2"/>
        <w:keepNext/>
      </w:pPr>
      <w:r>
        <w:t>1. Finding a credible starting model</w:t>
      </w:r>
    </w:p>
    <w:p>
      <w:pPr/>
      <w:r>
        <w:rPr>
          <w:rFonts w:ascii="Calibri" w:hAnsi="Calibri"/>
          <w:b w:val="0"/>
          <w:i w:val="0"/>
          <w:color w:val="1F2937"/>
          <w:sz w:val="22"/>
        </w:rPr>
        <w:t>The project first compared several openly available multilingual models through direct Kinyarwanda conversation, translation, correction, and tutoring prompts. The smaller Qwen-family and Kinyarwanda-specialized candidates were inconsistent or too weak for the intended assistant. Gemma 4 12B was slower locally, but it was the first baseline that regularly produced coherent Kinyarwanda and useful bilingual explanations. That made it the model worth adapting rather than replacing.</w:t>
      </w:r>
    </w:p>
    <w:p>
      <w:pPr>
        <w:pStyle w:val="Heading2"/>
        <w:keepNext/>
      </w:pPr>
      <w:r>
        <w:t>2. Learning from adapters that became worse</w:t>
      </w:r>
    </w:p>
    <w:p>
      <w:pPr/>
      <w:r>
        <w:rPr>
          <w:rFonts w:ascii="Calibri" w:hAnsi="Calibri"/>
          <w:b w:val="0"/>
          <w:i w:val="0"/>
          <w:color w:val="1F2937"/>
          <w:sz w:val="22"/>
        </w:rPr>
        <w:t>The first fine-tuning attempts did not improve the user experience. Some checkpoints repeated a single sentence or phrase and ignored the conversation, even when training loss looked acceptable. Those failures changed the project’s method: loss could help monitor training, but it could not choose the final model. Every serious checkpoint would need fixed prompts, preserved outputs, side-by-side comparison with the base, and native-speaker inspection.</w:t>
      </w:r>
    </w:p>
    <w:p>
      <w:pPr>
        <w:pStyle w:val="Heading2"/>
        <w:keepNext/>
      </w:pPr>
      <w:r>
        <w:t>3. Making the experiment controlled</w:t>
      </w:r>
    </w:p>
    <w:p>
      <w:pPr/>
      <w:r>
        <w:rPr>
          <w:rFonts w:ascii="Calibri" w:hAnsi="Calibri"/>
          <w:b w:val="0"/>
          <w:i w:val="0"/>
          <w:color w:val="1F2937"/>
          <w:sz w:val="22"/>
        </w:rPr>
        <w:t>The team then froze a reviewed long-form training set, made the QLoRA scripts reproducible, and tested multiple learning rates while preserving checkpoints throughout training. The strongest full-epoch branch reached 780 optimizer updates. It was more promising than the earlier collapsed adapters, but the 150-prompt screen showed that it still trailed the unchanged base overall and remained vulnerable to repetition.</w:t>
      </w:r>
    </w:p>
    <w:p>
      <w:pPr>
        <w:pStyle w:val="Heading2"/>
        <w:keepNext/>
      </w:pPr>
      <w:r>
        <w:t>4. Training directly on observed weaknesses</w:t>
      </w:r>
    </w:p>
    <w:p>
      <w:pPr/>
      <w:r>
        <w:rPr>
          <w:rFonts w:ascii="Calibri" w:hAnsi="Calibri"/>
          <w:b w:val="0"/>
          <w:i w:val="0"/>
          <w:color w:val="1F2937"/>
          <w:sz w:val="22"/>
        </w:rPr>
        <w:t>Instead of merely adding more steps to the same mixture, the next curriculum was expanded to 3,858 rows and aimed more directly at the failures revealed by evaluation. The step-780 adapter supplied the starting weights, and the targeted stage added another 780 updates at a lower learning rate. This produced the current 1,560 cumulative-step adapter: the first continuation to improve clearly over both earlier adapter branches in the shared screen.</w:t>
      </w:r>
    </w:p>
    <w:p>
      <w:pPr>
        <w:pStyle w:val="Heading2"/>
        <w:keepNext/>
      </w:pPr>
      <w:r>
        <w:t>5. What progress means now</w:t>
      </w:r>
    </w:p>
    <w:p>
      <w:pPr/>
      <w:r>
        <w:rPr>
          <w:rFonts w:ascii="Calibri" w:hAnsi="Calibri"/>
          <w:b w:val="0"/>
          <w:i w:val="0"/>
          <w:color w:val="1F2937"/>
          <w:sz w:val="22"/>
        </w:rPr>
        <w:t>The project has moved from asking whether a Kinyarwanda adapter can train at all to identifying exactly which behaviors the data can improve and which ones it can accidentally erase. The present checkpoint is evidence of controllable learning, especially in grammar, correction, and Kinyarwanda-to-English translation. The remaining job is to preserve those gains while restoring the base model’s stronger conversation, uncertainty handling, and resistance to repetition.</w:t>
      </w:r>
    </w:p>
    <w:p>
      <w:pPr>
        <w:pStyle w:val="Heading1"/>
        <w:keepNext/>
        <w:pageBreakBefore/>
      </w:pPr>
      <w:r>
        <w:t>Training Lineage</w:t>
      </w:r>
    </w:p>
    <w:p>
      <w:pPr>
        <w:spacing w:before="80" w:after="200" w:line="259" w:lineRule="auto"/>
        <w:ind w:left="187" w:right="115"/>
        <w:shd w:fill="FFF6DD"/>
        <w:pBdr>
          <w:left w:val="single" w:sz="18" w:space="8" w:color="7A5A00"/>
        </w:pBdr>
      </w:pPr>
      <w:r>
        <w:rPr>
          <w:rFonts w:ascii="Calibri" w:hAnsi="Calibri"/>
          <w:b/>
          <w:i w:val="0"/>
          <w:color w:val="7A5A00"/>
          <w:sz w:val="21"/>
        </w:rPr>
        <w:t xml:space="preserve">NAMING  </w:t>
      </w:r>
      <w:r>
        <w:rPr>
          <w:rFonts w:ascii="Calibri" w:hAnsi="Calibri"/>
          <w:b w:val="0"/>
          <w:i w:val="0"/>
          <w:color w:val="1F2937"/>
          <w:sz w:val="21"/>
        </w:rPr>
        <w:t>Use “1,560 cumulative-step targeted adapter” in presentations. In technical writing, also state that the final 780-step continuation restarted the optimizer and learning-rate schedule at 2e-6.</w:t>
      </w:r>
    </w:p>
    <w:tbl>
      <w:tblPr>
        <w:tblW w:type="dxa" w:w="9360"/>
        <w:jc w:val="left"/>
        <w:tblLayout w:type="fixed"/>
        <w:tblLook w:firstColumn="1" w:firstRow="1" w:lastColumn="0" w:lastRow="0" w:noHBand="0" w:noVBand="1" w:val="04A0"/>
        <w:tblInd w:w="120" w:type="dxa"/>
        <w:tblBorders>
          <w:top w:val="single" w:sz="5" w:space="0" w:color="D5DAE1"/>
          <w:left w:val="single" w:sz="5" w:space="0" w:color="D5DAE1"/>
          <w:bottom w:val="single" w:sz="5" w:space="0" w:color="D5DAE1"/>
          <w:right w:val="single" w:sz="5" w:space="0" w:color="D5DAE1"/>
          <w:insideH w:val="single" w:sz="5" w:space="0" w:color="D5DAE1"/>
          <w:insideV w:val="single" w:sz="5" w:space="0" w:color="D5DAE1"/>
        </w:tblBorders>
      </w:tblPr>
      <w:tblGrid>
        <w:gridCol w:w="1900"/>
        <w:gridCol w:w="1900"/>
        <w:gridCol w:w="2460"/>
        <w:gridCol w:w="1300"/>
        <w:gridCol w:w="1800"/>
      </w:tblGrid>
      <w:tr>
        <w:trPr>
          <w:tblHeader w:val="true"/>
        </w:trPr>
        <w:tc>
          <w:tcPr>
            <w:tcW w:type="dxa" w:w="1900"/>
            <w:tcMar>
              <w:top w:w="80" w:type="dxa"/>
              <w:start w:w="120" w:type="dxa"/>
              <w:bottom w:w="80" w:type="dxa"/>
              <w:end w:w="120" w:type="dxa"/>
            </w:tcMar>
            <w:vAlign w:val="center"/>
            <w:shd w:fill="F2F4F7"/>
          </w:tcPr>
          <w:p>
            <w:pPr>
              <w:spacing w:before="0" w:after="0"/>
              <w:jc w:val="left"/>
            </w:pPr>
            <w:r>
              <w:rPr>
                <w:rFonts w:ascii="Calibri" w:hAnsi="Calibri"/>
                <w:b/>
                <w:i w:val="0"/>
                <w:color w:val="1F4D78"/>
                <w:sz w:val="19"/>
              </w:rPr>
              <w:t>Stage</w:t>
            </w:r>
          </w:p>
        </w:tc>
        <w:tc>
          <w:tcPr>
            <w:tcW w:type="dxa" w:w="1900"/>
            <w:tcMar>
              <w:top w:w="80" w:type="dxa"/>
              <w:start w:w="120" w:type="dxa"/>
              <w:bottom w:w="80" w:type="dxa"/>
              <w:end w:w="120" w:type="dxa"/>
            </w:tcMar>
            <w:vAlign w:val="center"/>
            <w:shd w:fill="F2F4F7"/>
          </w:tcPr>
          <w:p>
            <w:pPr>
              <w:spacing w:before="0" w:after="0"/>
              <w:jc w:val="left"/>
            </w:pPr>
            <w:r>
              <w:rPr>
                <w:rFonts w:ascii="Calibri" w:hAnsi="Calibri"/>
                <w:b/>
                <w:i w:val="0"/>
                <w:color w:val="1F4D78"/>
                <w:sz w:val="19"/>
              </w:rPr>
              <w:t>Starting point</w:t>
            </w:r>
          </w:p>
        </w:tc>
        <w:tc>
          <w:tcPr>
            <w:tcW w:type="dxa" w:w="2460"/>
            <w:tcMar>
              <w:top w:w="80" w:type="dxa"/>
              <w:start w:w="120" w:type="dxa"/>
              <w:bottom w:w="80" w:type="dxa"/>
              <w:end w:w="120" w:type="dxa"/>
            </w:tcMar>
            <w:vAlign w:val="center"/>
            <w:shd w:fill="F2F4F7"/>
          </w:tcPr>
          <w:p>
            <w:pPr>
              <w:spacing w:before="0" w:after="0"/>
              <w:jc w:val="left"/>
            </w:pPr>
            <w:r>
              <w:rPr>
                <w:rFonts w:ascii="Calibri" w:hAnsi="Calibri"/>
                <w:b/>
                <w:i w:val="0"/>
                <w:color w:val="1F4D78"/>
                <w:sz w:val="19"/>
              </w:rPr>
              <w:t>Training data</w:t>
            </w:r>
          </w:p>
        </w:tc>
        <w:tc>
          <w:tcPr>
            <w:tcW w:type="dxa" w:w="1300"/>
            <w:tcMar>
              <w:top w:w="80" w:type="dxa"/>
              <w:start w:w="120" w:type="dxa"/>
              <w:bottom w:w="80" w:type="dxa"/>
              <w:end w:w="120" w:type="dxa"/>
            </w:tcMar>
            <w:vAlign w:val="center"/>
            <w:shd w:fill="F2F4F7"/>
          </w:tcPr>
          <w:p>
            <w:pPr>
              <w:spacing w:before="0" w:after="0"/>
              <w:jc w:val="center"/>
            </w:pPr>
            <w:r>
              <w:rPr>
                <w:rFonts w:ascii="Calibri" w:hAnsi="Calibri"/>
                <w:b/>
                <w:i w:val="0"/>
                <w:color w:val="1F4D78"/>
                <w:sz w:val="19"/>
              </w:rPr>
              <w:t>Updates</w:t>
            </w:r>
          </w:p>
        </w:tc>
        <w:tc>
          <w:tcPr>
            <w:tcW w:type="dxa" w:w="1800"/>
            <w:tcMar>
              <w:top w:w="80" w:type="dxa"/>
              <w:start w:w="120" w:type="dxa"/>
              <w:bottom w:w="80" w:type="dxa"/>
              <w:end w:w="120" w:type="dxa"/>
            </w:tcMar>
            <w:vAlign w:val="center"/>
            <w:shd w:fill="F2F4F7"/>
          </w:tcPr>
          <w:p>
            <w:pPr>
              <w:spacing w:before="0" w:after="0"/>
              <w:jc w:val="center"/>
            </w:pPr>
            <w:r>
              <w:rPr>
                <w:rFonts w:ascii="Calibri" w:hAnsi="Calibri"/>
                <w:b/>
                <w:i w:val="0"/>
                <w:color w:val="1F4D78"/>
                <w:sz w:val="19"/>
              </w:rPr>
              <w:t>Learning rate</w:t>
            </w:r>
          </w:p>
        </w:tc>
      </w:tr>
      <w:tr>
        <w:tc>
          <w:tcPr>
            <w:tcW w:type="dxa" w:w="1900"/>
            <w:tcMar>
              <w:top w:w="80" w:type="dxa"/>
              <w:start w:w="120" w:type="dxa"/>
              <w:bottom w:w="80" w:type="dxa"/>
              <w:end w:w="120" w:type="dxa"/>
            </w:tcMar>
            <w:vAlign w:val="center"/>
          </w:tcPr>
          <w:p>
            <w:pPr>
              <w:spacing w:before="0" w:after="0" w:line="252" w:lineRule="auto"/>
              <w:jc w:val="left"/>
            </w:pPr>
            <w:r>
              <w:rPr>
                <w:rFonts w:ascii="Calibri" w:hAnsi="Calibri"/>
                <w:b/>
                <w:i w:val="0"/>
                <w:color w:val="1F2937"/>
                <w:sz w:val="19"/>
              </w:rPr>
              <w:t>Initial full epoch</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b/>
                <w:i w:val="0"/>
                <w:color w:val="1F2937"/>
                <w:sz w:val="19"/>
              </w:rPr>
              <w:t>Gemma 4 12B</w:t>
            </w:r>
          </w:p>
        </w:tc>
        <w:tc>
          <w:tcPr>
            <w:tcW w:type="dxa" w:w="2460"/>
            <w:tcMar>
              <w:top w:w="80" w:type="dxa"/>
              <w:start w:w="120" w:type="dxa"/>
              <w:bottom w:w="80" w:type="dxa"/>
              <w:end w:w="120" w:type="dxa"/>
            </w:tcMar>
            <w:vAlign w:val="center"/>
          </w:tcPr>
          <w:p>
            <w:pPr>
              <w:spacing w:before="0" w:after="0" w:line="252" w:lineRule="auto"/>
              <w:jc w:val="left"/>
            </w:pPr>
            <w:r>
              <w:rPr>
                <w:rFonts w:ascii="Calibri" w:hAnsi="Calibri"/>
                <w:b/>
                <w:i w:val="0"/>
                <w:color w:val="1F2937"/>
                <w:sz w:val="19"/>
              </w:rPr>
              <w:t>3,144 reviewed rows</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b/>
                <w:i w:val="0"/>
                <w:color w:val="1F2937"/>
                <w:sz w:val="19"/>
              </w:rPr>
              <w:t>780</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b/>
                <w:i w:val="0"/>
                <w:color w:val="1F2937"/>
                <w:sz w:val="19"/>
              </w:rPr>
              <w:t>2e-5</w:t>
            </w:r>
          </w:p>
        </w:tc>
      </w:tr>
      <w:tr>
        <w:tc>
          <w:tcPr>
            <w:tcW w:type="dxa" w:w="1900"/>
            <w:tcMar>
              <w:top w:w="80" w:type="dxa"/>
              <w:start w:w="120" w:type="dxa"/>
              <w:bottom w:w="80" w:type="dxa"/>
              <w:end w:w="120" w:type="dxa"/>
            </w:tcMar>
            <w:vAlign w:val="center"/>
            <w:shd w:fill="FAFBFC"/>
          </w:tcPr>
          <w:p>
            <w:pPr>
              <w:spacing w:before="0" w:after="0" w:line="252" w:lineRule="auto"/>
              <w:jc w:val="left"/>
            </w:pPr>
            <w:r>
              <w:rPr>
                <w:rFonts w:ascii="Calibri" w:hAnsi="Calibri"/>
                <w:b w:val="0"/>
                <w:i w:val="0"/>
                <w:color w:val="1F2937"/>
                <w:sz w:val="19"/>
              </w:rPr>
              <w:t>Targeted continuation</w:t>
            </w:r>
          </w:p>
        </w:tc>
        <w:tc>
          <w:tcPr>
            <w:tcW w:type="dxa" w:w="1900"/>
            <w:tcMar>
              <w:top w:w="80" w:type="dxa"/>
              <w:start w:w="120" w:type="dxa"/>
              <w:bottom w:w="80" w:type="dxa"/>
              <w:end w:w="120" w:type="dxa"/>
            </w:tcMar>
            <w:vAlign w:val="center"/>
            <w:shd w:fill="FAFBFC"/>
          </w:tcPr>
          <w:p>
            <w:pPr>
              <w:spacing w:before="0" w:after="0" w:line="252" w:lineRule="auto"/>
              <w:jc w:val="left"/>
            </w:pPr>
            <w:r>
              <w:rPr>
                <w:rFonts w:ascii="Calibri" w:hAnsi="Calibri"/>
                <w:b w:val="0"/>
                <w:i w:val="0"/>
                <w:color w:val="1F2937"/>
                <w:sz w:val="19"/>
              </w:rPr>
              <w:t>Step-780 adapter</w:t>
            </w:r>
          </w:p>
        </w:tc>
        <w:tc>
          <w:tcPr>
            <w:tcW w:type="dxa" w:w="2460"/>
            <w:tcMar>
              <w:top w:w="80" w:type="dxa"/>
              <w:start w:w="120" w:type="dxa"/>
              <w:bottom w:w="80" w:type="dxa"/>
              <w:end w:w="120" w:type="dxa"/>
            </w:tcMar>
            <w:vAlign w:val="center"/>
            <w:shd w:fill="FAFBFC"/>
          </w:tcPr>
          <w:p>
            <w:pPr>
              <w:spacing w:before="0" w:after="0" w:line="252" w:lineRule="auto"/>
              <w:jc w:val="left"/>
            </w:pPr>
            <w:r>
              <w:rPr>
                <w:rFonts w:ascii="Calibri" w:hAnsi="Calibri"/>
                <w:b w:val="0"/>
                <w:i w:val="0"/>
                <w:color w:val="1F2937"/>
                <w:sz w:val="19"/>
              </w:rPr>
              <w:t>3,858-row curriculum</w:t>
            </w:r>
          </w:p>
        </w:tc>
        <w:tc>
          <w:tcPr>
            <w:tcW w:type="dxa" w:w="1300"/>
            <w:tcMar>
              <w:top w:w="80" w:type="dxa"/>
              <w:start w:w="120" w:type="dxa"/>
              <w:bottom w:w="80" w:type="dxa"/>
              <w:end w:w="120" w:type="dxa"/>
            </w:tcMar>
            <w:vAlign w:val="center"/>
            <w:shd w:fill="FAFBFC"/>
          </w:tcPr>
          <w:p>
            <w:pPr>
              <w:spacing w:before="0" w:after="0" w:line="252" w:lineRule="auto"/>
              <w:jc w:val="center"/>
            </w:pPr>
            <w:r>
              <w:rPr>
                <w:rFonts w:ascii="Calibri" w:hAnsi="Calibri"/>
                <w:b/>
                <w:i w:val="0"/>
                <w:color w:val="24734A"/>
                <w:sz w:val="19"/>
              </w:rPr>
              <w:t>+780</w:t>
            </w:r>
          </w:p>
        </w:tc>
        <w:tc>
          <w:tcPr>
            <w:tcW w:type="dxa" w:w="1800"/>
            <w:tcMar>
              <w:top w:w="80" w:type="dxa"/>
              <w:start w:w="120" w:type="dxa"/>
              <w:bottom w:w="80" w:type="dxa"/>
              <w:end w:w="120" w:type="dxa"/>
            </w:tcMar>
            <w:vAlign w:val="center"/>
            <w:shd w:fill="FAFBFC"/>
          </w:tcPr>
          <w:p>
            <w:pPr>
              <w:spacing w:before="0" w:after="0" w:line="252" w:lineRule="auto"/>
              <w:jc w:val="center"/>
            </w:pPr>
            <w:r>
              <w:rPr>
                <w:rFonts w:ascii="Calibri" w:hAnsi="Calibri"/>
                <w:b w:val="0"/>
                <w:i w:val="0"/>
                <w:color w:val="1F2937"/>
                <w:sz w:val="19"/>
              </w:rPr>
              <w:t>2e-6</w:t>
            </w:r>
          </w:p>
        </w:tc>
      </w:tr>
    </w:tbl>
    <w:p>
      <w:pPr>
        <w:pStyle w:val="Heading1"/>
        <w:keepNext/>
      </w:pPr>
      <w:r>
        <w:t>Comparable Development Results</w:t>
      </w:r>
    </w:p>
    <w:p>
      <w:pPr/>
      <w:r>
        <w:rPr>
          <w:rFonts w:ascii="Calibri" w:hAnsi="Calibri"/>
          <w:b w:val="0"/>
          <w:i w:val="0"/>
          <w:color w:val="1F2937"/>
          <w:sz w:val="22"/>
        </w:rPr>
        <w:t>Each system answered the same prompts with the same system message, greedy decoding, 256-token output limit, base checkpoint, and MLX runtime. Candidate names were hidden from the model judge.</w:t>
      </w:r>
    </w:p>
    <w:tbl>
      <w:tblPr>
        <w:tblW w:type="dxa" w:w="9360"/>
        <w:jc w:val="left"/>
        <w:tblLayout w:type="fixed"/>
        <w:tblLook w:firstColumn="1" w:firstRow="1" w:lastColumn="0" w:lastRow="0" w:noHBand="0" w:noVBand="1" w:val="04A0"/>
        <w:tblInd w:w="120" w:type="dxa"/>
        <w:tblBorders>
          <w:top w:val="single" w:sz="5" w:space="0" w:color="D5DAE1"/>
          <w:left w:val="single" w:sz="5" w:space="0" w:color="D5DAE1"/>
          <w:bottom w:val="single" w:sz="5" w:space="0" w:color="D5DAE1"/>
          <w:right w:val="single" w:sz="5" w:space="0" w:color="D5DAE1"/>
          <w:insideH w:val="single" w:sz="5" w:space="0" w:color="D5DAE1"/>
          <w:insideV w:val="single" w:sz="5" w:space="0" w:color="D5DAE1"/>
        </w:tblBorders>
      </w:tblPr>
      <w:tblGrid>
        <w:gridCol w:w="3260"/>
        <w:gridCol w:w="1250"/>
        <w:gridCol w:w="1400"/>
        <w:gridCol w:w="1800"/>
        <w:gridCol w:w="1650"/>
      </w:tblGrid>
      <w:tr>
        <w:trPr>
          <w:tblHeader w:val="true"/>
        </w:trPr>
        <w:tc>
          <w:tcPr>
            <w:tcW w:type="dxa" w:w="3260"/>
            <w:tcMar>
              <w:top w:w="80" w:type="dxa"/>
              <w:start w:w="120" w:type="dxa"/>
              <w:bottom w:w="80" w:type="dxa"/>
              <w:end w:w="120" w:type="dxa"/>
            </w:tcMar>
            <w:vAlign w:val="center"/>
            <w:shd w:fill="F2F4F7"/>
          </w:tcPr>
          <w:p>
            <w:pPr>
              <w:spacing w:before="0" w:after="0"/>
              <w:jc w:val="left"/>
            </w:pPr>
            <w:r>
              <w:rPr>
                <w:rFonts w:ascii="Calibri" w:hAnsi="Calibri"/>
                <w:b/>
                <w:i w:val="0"/>
                <w:color w:val="1F4D78"/>
                <w:sz w:val="19"/>
              </w:rPr>
              <w:t>Candidate</w:t>
            </w:r>
          </w:p>
        </w:tc>
        <w:tc>
          <w:tcPr>
            <w:tcW w:type="dxa" w:w="1250"/>
            <w:tcMar>
              <w:top w:w="80" w:type="dxa"/>
              <w:start w:w="120" w:type="dxa"/>
              <w:bottom w:w="80" w:type="dxa"/>
              <w:end w:w="120" w:type="dxa"/>
            </w:tcMar>
            <w:vAlign w:val="center"/>
            <w:shd w:fill="F2F4F7"/>
          </w:tcPr>
          <w:p>
            <w:pPr>
              <w:spacing w:before="0" w:after="0"/>
              <w:jc w:val="center"/>
            </w:pPr>
            <w:r>
              <w:rPr>
                <w:rFonts w:ascii="Calibri" w:hAnsi="Calibri"/>
                <w:b/>
                <w:i w:val="0"/>
                <w:color w:val="1F4D78"/>
                <w:sz w:val="19"/>
              </w:rPr>
              <w:t>Passes</w:t>
            </w:r>
          </w:p>
        </w:tc>
        <w:tc>
          <w:tcPr>
            <w:tcW w:type="dxa" w:w="1400"/>
            <w:tcMar>
              <w:top w:w="80" w:type="dxa"/>
              <w:start w:w="120" w:type="dxa"/>
              <w:bottom w:w="80" w:type="dxa"/>
              <w:end w:w="120" w:type="dxa"/>
            </w:tcMar>
            <w:vAlign w:val="center"/>
            <w:shd w:fill="F2F4F7"/>
          </w:tcPr>
          <w:p>
            <w:pPr>
              <w:spacing w:before="0" w:after="0"/>
              <w:jc w:val="center"/>
            </w:pPr>
            <w:r>
              <w:rPr>
                <w:rFonts w:ascii="Calibri" w:hAnsi="Calibri"/>
                <w:b/>
                <w:i w:val="0"/>
                <w:color w:val="1F4D78"/>
                <w:sz w:val="19"/>
              </w:rPr>
              <w:t>Pass rate</w:t>
            </w:r>
          </w:p>
        </w:tc>
        <w:tc>
          <w:tcPr>
            <w:tcW w:type="dxa" w:w="1800"/>
            <w:tcMar>
              <w:top w:w="80" w:type="dxa"/>
              <w:start w:w="120" w:type="dxa"/>
              <w:bottom w:w="80" w:type="dxa"/>
              <w:end w:w="120" w:type="dxa"/>
            </w:tcMar>
            <w:vAlign w:val="center"/>
            <w:shd w:fill="F2F4F7"/>
          </w:tcPr>
          <w:p>
            <w:pPr>
              <w:spacing w:before="0" w:after="0"/>
              <w:jc w:val="center"/>
            </w:pPr>
            <w:r>
              <w:rPr>
                <w:rFonts w:ascii="Calibri" w:hAnsi="Calibri"/>
                <w:b/>
                <w:i w:val="0"/>
                <w:color w:val="1F4D78"/>
                <w:sz w:val="19"/>
              </w:rPr>
              <w:t>Kinyarwanda score</w:t>
            </w:r>
          </w:p>
        </w:tc>
        <w:tc>
          <w:tcPr>
            <w:tcW w:type="dxa" w:w="1650"/>
            <w:tcMar>
              <w:top w:w="80" w:type="dxa"/>
              <w:start w:w="120" w:type="dxa"/>
              <w:bottom w:w="80" w:type="dxa"/>
              <w:end w:w="120" w:type="dxa"/>
            </w:tcMar>
            <w:vAlign w:val="center"/>
            <w:shd w:fill="F2F4F7"/>
          </w:tcPr>
          <w:p>
            <w:pPr>
              <w:spacing w:before="0" w:after="0"/>
              <w:jc w:val="center"/>
            </w:pPr>
            <w:r>
              <w:rPr>
                <w:rFonts w:ascii="Calibri" w:hAnsi="Calibri"/>
                <w:b/>
                <w:i w:val="0"/>
                <w:color w:val="1F4D78"/>
                <w:sz w:val="19"/>
              </w:rPr>
              <w:t>Repetition</w:t>
            </w:r>
          </w:p>
        </w:tc>
      </w:tr>
      <w:tr>
        <w:tc>
          <w:tcPr>
            <w:tcW w:type="dxa" w:w="3260"/>
            <w:tcMar>
              <w:top w:w="80" w:type="dxa"/>
              <w:start w:w="120" w:type="dxa"/>
              <w:bottom w:w="80" w:type="dxa"/>
              <w:end w:w="120" w:type="dxa"/>
            </w:tcMar>
            <w:vAlign w:val="center"/>
          </w:tcPr>
          <w:p>
            <w:pPr>
              <w:spacing w:before="0" w:after="0" w:line="252" w:lineRule="auto"/>
              <w:jc w:val="left"/>
            </w:pPr>
            <w:r>
              <w:rPr>
                <w:rFonts w:ascii="Calibri" w:hAnsi="Calibri"/>
                <w:b/>
                <w:i w:val="0"/>
                <w:color w:val="1F2937"/>
                <w:sz w:val="19"/>
              </w:rPr>
              <w:t>Unchanged Gemma 4 12B</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b/>
                <w:i w:val="0"/>
                <w:color w:val="1F2937"/>
                <w:sz w:val="19"/>
              </w:rPr>
              <w:t>33/150</w:t>
            </w:r>
          </w:p>
        </w:tc>
        <w:tc>
          <w:tcPr>
            <w:tcW w:type="dxa" w:w="1400"/>
            <w:tcMar>
              <w:top w:w="80" w:type="dxa"/>
              <w:start w:w="120" w:type="dxa"/>
              <w:bottom w:w="80" w:type="dxa"/>
              <w:end w:w="120" w:type="dxa"/>
            </w:tcMar>
            <w:vAlign w:val="center"/>
          </w:tcPr>
          <w:p>
            <w:pPr>
              <w:spacing w:before="0" w:after="0" w:line="252" w:lineRule="auto"/>
              <w:jc w:val="center"/>
            </w:pPr>
            <w:r>
              <w:rPr>
                <w:rFonts w:ascii="Calibri" w:hAnsi="Calibri"/>
                <w:b/>
                <w:i w:val="0"/>
                <w:color w:val="1F2937"/>
                <w:sz w:val="19"/>
              </w:rPr>
              <w:t>22.00%</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b/>
                <w:i w:val="0"/>
                <w:color w:val="1F2937"/>
                <w:sz w:val="19"/>
              </w:rPr>
              <w:t>2.53/5</w:t>
            </w:r>
          </w:p>
        </w:tc>
        <w:tc>
          <w:tcPr>
            <w:tcW w:type="dxa" w:w="1650"/>
            <w:tcMar>
              <w:top w:w="80" w:type="dxa"/>
              <w:start w:w="120" w:type="dxa"/>
              <w:bottom w:w="80" w:type="dxa"/>
              <w:end w:w="120" w:type="dxa"/>
            </w:tcMar>
            <w:vAlign w:val="center"/>
          </w:tcPr>
          <w:p>
            <w:pPr>
              <w:spacing w:before="0" w:after="0" w:line="252" w:lineRule="auto"/>
              <w:jc w:val="center"/>
            </w:pPr>
            <w:r>
              <w:rPr>
                <w:rFonts w:ascii="Calibri" w:hAnsi="Calibri"/>
                <w:b/>
                <w:i w:val="0"/>
                <w:color w:val="1F2937"/>
                <w:sz w:val="19"/>
              </w:rPr>
              <w:t>4.67%</w:t>
            </w:r>
          </w:p>
        </w:tc>
      </w:tr>
      <w:tr>
        <w:tc>
          <w:tcPr>
            <w:tcW w:type="dxa" w:w="3260"/>
            <w:tcMar>
              <w:top w:w="80" w:type="dxa"/>
              <w:start w:w="120" w:type="dxa"/>
              <w:bottom w:w="80" w:type="dxa"/>
              <w:end w:w="120" w:type="dxa"/>
            </w:tcMar>
            <w:vAlign w:val="center"/>
            <w:shd w:fill="FAFBFC"/>
          </w:tcPr>
          <w:p>
            <w:pPr>
              <w:spacing w:before="0" w:after="0" w:line="252" w:lineRule="auto"/>
              <w:jc w:val="left"/>
            </w:pPr>
            <w:r>
              <w:rPr>
                <w:rFonts w:ascii="Calibri" w:hAnsi="Calibri"/>
                <w:b w:val="0"/>
                <w:i w:val="0"/>
                <w:color w:val="1F2937"/>
                <w:sz w:val="19"/>
              </w:rPr>
              <w:t>Targeted adapter, 1,560 cumulative steps</w:t>
            </w:r>
          </w:p>
        </w:tc>
        <w:tc>
          <w:tcPr>
            <w:tcW w:type="dxa" w:w="1250"/>
            <w:tcMar>
              <w:top w:w="80" w:type="dxa"/>
              <w:start w:w="120" w:type="dxa"/>
              <w:bottom w:w="80" w:type="dxa"/>
              <w:end w:w="120" w:type="dxa"/>
            </w:tcMar>
            <w:vAlign w:val="center"/>
            <w:shd w:fill="FAFBFC"/>
          </w:tcPr>
          <w:p>
            <w:pPr>
              <w:spacing w:before="0" w:after="0" w:line="252" w:lineRule="auto"/>
              <w:jc w:val="center"/>
            </w:pPr>
            <w:r>
              <w:rPr>
                <w:rFonts w:ascii="Calibri" w:hAnsi="Calibri"/>
                <w:b w:val="0"/>
                <w:i w:val="0"/>
                <w:color w:val="1F2937"/>
                <w:sz w:val="19"/>
              </w:rPr>
              <w:t>28/150</w:t>
            </w:r>
          </w:p>
        </w:tc>
        <w:tc>
          <w:tcPr>
            <w:tcW w:type="dxa" w:w="1400"/>
            <w:tcMar>
              <w:top w:w="80" w:type="dxa"/>
              <w:start w:w="120" w:type="dxa"/>
              <w:bottom w:w="80" w:type="dxa"/>
              <w:end w:w="120" w:type="dxa"/>
            </w:tcMar>
            <w:vAlign w:val="center"/>
            <w:shd w:fill="FAFBFC"/>
          </w:tcPr>
          <w:p>
            <w:pPr>
              <w:spacing w:before="0" w:after="0" w:line="252" w:lineRule="auto"/>
              <w:jc w:val="center"/>
            </w:pPr>
            <w:r>
              <w:rPr>
                <w:rFonts w:ascii="Calibri" w:hAnsi="Calibri"/>
                <w:b w:val="0"/>
                <w:i w:val="0"/>
                <w:color w:val="1F2937"/>
                <w:sz w:val="19"/>
              </w:rPr>
              <w:t>18.67%</w:t>
            </w:r>
          </w:p>
        </w:tc>
        <w:tc>
          <w:tcPr>
            <w:tcW w:type="dxa" w:w="1800"/>
            <w:tcMar>
              <w:top w:w="80" w:type="dxa"/>
              <w:start w:w="120" w:type="dxa"/>
              <w:bottom w:w="80" w:type="dxa"/>
              <w:end w:w="120" w:type="dxa"/>
            </w:tcMar>
            <w:vAlign w:val="center"/>
            <w:shd w:fill="FAFBFC"/>
          </w:tcPr>
          <w:p>
            <w:pPr>
              <w:spacing w:before="0" w:after="0" w:line="252" w:lineRule="auto"/>
              <w:jc w:val="center"/>
            </w:pPr>
            <w:r>
              <w:rPr>
                <w:rFonts w:ascii="Calibri" w:hAnsi="Calibri"/>
                <w:b w:val="0"/>
                <w:i w:val="0"/>
                <w:color w:val="1F2937"/>
                <w:sz w:val="19"/>
              </w:rPr>
              <w:t>2.15/5</w:t>
            </w:r>
          </w:p>
        </w:tc>
        <w:tc>
          <w:tcPr>
            <w:tcW w:type="dxa" w:w="1650"/>
            <w:tcMar>
              <w:top w:w="80" w:type="dxa"/>
              <w:start w:w="120" w:type="dxa"/>
              <w:bottom w:w="80" w:type="dxa"/>
              <w:end w:w="120" w:type="dxa"/>
            </w:tcMar>
            <w:vAlign w:val="center"/>
            <w:shd w:fill="FAFBFC"/>
          </w:tcPr>
          <w:p>
            <w:pPr>
              <w:spacing w:before="0" w:after="0" w:line="252" w:lineRule="auto"/>
              <w:jc w:val="center"/>
            </w:pPr>
            <w:r>
              <w:rPr>
                <w:rFonts w:ascii="Calibri" w:hAnsi="Calibri"/>
                <w:b w:val="0"/>
                <w:i w:val="0"/>
                <w:color w:val="1F2937"/>
                <w:sz w:val="19"/>
              </w:rPr>
              <w:t>18.67%</w:t>
            </w:r>
          </w:p>
        </w:tc>
      </w:tr>
      <w:tr>
        <w:tc>
          <w:tcPr>
            <w:tcW w:type="dxa" w:w="32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Control continuation</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9"/>
              </w:rPr>
              <w:t>24/150</w:t>
            </w:r>
          </w:p>
        </w:tc>
        <w:tc>
          <w:tcPr>
            <w:tcW w:type="dxa" w:w="140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9"/>
              </w:rPr>
              <w:t>16.00%</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9"/>
              </w:rPr>
              <w:t>2.02/5</w:t>
            </w:r>
          </w:p>
        </w:tc>
        <w:tc>
          <w:tcPr>
            <w:tcW w:type="dxa" w:w="165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9"/>
              </w:rPr>
              <w:t>20.67%</w:t>
            </w:r>
          </w:p>
        </w:tc>
      </w:tr>
      <w:tr>
        <w:tc>
          <w:tcPr>
            <w:tcW w:type="dxa" w:w="3260"/>
            <w:tcMar>
              <w:top w:w="80" w:type="dxa"/>
              <w:start w:w="120" w:type="dxa"/>
              <w:bottom w:w="80" w:type="dxa"/>
              <w:end w:w="120" w:type="dxa"/>
            </w:tcMar>
            <w:vAlign w:val="center"/>
            <w:shd w:fill="FAFBFC"/>
          </w:tcPr>
          <w:p>
            <w:pPr>
              <w:spacing w:before="0" w:after="0" w:line="252" w:lineRule="auto"/>
              <w:jc w:val="left"/>
            </w:pPr>
            <w:r>
              <w:rPr>
                <w:rFonts w:ascii="Calibri" w:hAnsi="Calibri"/>
                <w:b w:val="0"/>
                <w:i w:val="0"/>
                <w:color w:val="1F2937"/>
                <w:sz w:val="19"/>
              </w:rPr>
              <w:t>Source adapter, step 780</w:t>
            </w:r>
          </w:p>
        </w:tc>
        <w:tc>
          <w:tcPr>
            <w:tcW w:type="dxa" w:w="1250"/>
            <w:tcMar>
              <w:top w:w="80" w:type="dxa"/>
              <w:start w:w="120" w:type="dxa"/>
              <w:bottom w:w="80" w:type="dxa"/>
              <w:end w:w="120" w:type="dxa"/>
            </w:tcMar>
            <w:vAlign w:val="center"/>
            <w:shd w:fill="FAFBFC"/>
          </w:tcPr>
          <w:p>
            <w:pPr>
              <w:spacing w:before="0" w:after="0" w:line="252" w:lineRule="auto"/>
              <w:jc w:val="center"/>
            </w:pPr>
            <w:r>
              <w:rPr>
                <w:rFonts w:ascii="Calibri" w:hAnsi="Calibri"/>
                <w:b w:val="0"/>
                <w:i w:val="0"/>
                <w:color w:val="1F2937"/>
                <w:sz w:val="19"/>
              </w:rPr>
              <w:t>24/150</w:t>
            </w:r>
          </w:p>
        </w:tc>
        <w:tc>
          <w:tcPr>
            <w:tcW w:type="dxa" w:w="1400"/>
            <w:tcMar>
              <w:top w:w="80" w:type="dxa"/>
              <w:start w:w="120" w:type="dxa"/>
              <w:bottom w:w="80" w:type="dxa"/>
              <w:end w:w="120" w:type="dxa"/>
            </w:tcMar>
            <w:vAlign w:val="center"/>
            <w:shd w:fill="FAFBFC"/>
          </w:tcPr>
          <w:p>
            <w:pPr>
              <w:spacing w:before="0" w:after="0" w:line="252" w:lineRule="auto"/>
              <w:jc w:val="center"/>
            </w:pPr>
            <w:r>
              <w:rPr>
                <w:rFonts w:ascii="Calibri" w:hAnsi="Calibri"/>
                <w:b w:val="0"/>
                <w:i w:val="0"/>
                <w:color w:val="1F2937"/>
                <w:sz w:val="19"/>
              </w:rPr>
              <w:t>16.00%</w:t>
            </w:r>
          </w:p>
        </w:tc>
        <w:tc>
          <w:tcPr>
            <w:tcW w:type="dxa" w:w="1800"/>
            <w:tcMar>
              <w:top w:w="80" w:type="dxa"/>
              <w:start w:w="120" w:type="dxa"/>
              <w:bottom w:w="80" w:type="dxa"/>
              <w:end w:w="120" w:type="dxa"/>
            </w:tcMar>
            <w:vAlign w:val="center"/>
            <w:shd w:fill="FAFBFC"/>
          </w:tcPr>
          <w:p>
            <w:pPr>
              <w:spacing w:before="0" w:after="0" w:line="252" w:lineRule="auto"/>
              <w:jc w:val="center"/>
            </w:pPr>
            <w:r>
              <w:rPr>
                <w:rFonts w:ascii="Calibri" w:hAnsi="Calibri"/>
                <w:b w:val="0"/>
                <w:i w:val="0"/>
                <w:color w:val="1F2937"/>
                <w:sz w:val="19"/>
              </w:rPr>
              <w:t>2.03/5</w:t>
            </w:r>
          </w:p>
        </w:tc>
        <w:tc>
          <w:tcPr>
            <w:tcW w:type="dxa" w:w="1650"/>
            <w:tcMar>
              <w:top w:w="80" w:type="dxa"/>
              <w:start w:w="120" w:type="dxa"/>
              <w:bottom w:w="80" w:type="dxa"/>
              <w:end w:w="120" w:type="dxa"/>
            </w:tcMar>
            <w:vAlign w:val="center"/>
            <w:shd w:fill="FAFBFC"/>
          </w:tcPr>
          <w:p>
            <w:pPr>
              <w:spacing w:before="0" w:after="0" w:line="252" w:lineRule="auto"/>
              <w:jc w:val="center"/>
            </w:pPr>
            <w:r>
              <w:rPr>
                <w:rFonts w:ascii="Calibri" w:hAnsi="Calibri"/>
                <w:b w:val="0"/>
                <w:i w:val="0"/>
                <w:color w:val="1F2937"/>
                <w:sz w:val="19"/>
              </w:rPr>
              <w:t>20.67%</w:t>
            </w:r>
          </w:p>
        </w:tc>
      </w:tr>
    </w:tbl>
    <w:p>
      <w:pPr>
        <w:spacing w:before="160" w:after="40"/>
        <w:jc w:val="center"/>
      </w:pPr>
      <w:r>
        <w:drawing>
          <wp:inline xmlns:a="http://schemas.openxmlformats.org/drawingml/2006/main" xmlns:pic="http://schemas.openxmlformats.org/drawingml/2006/picture">
            <wp:extent cx="5715000" cy="2133600"/>
            <wp:docPr id="1" name="Picture 1" descr="Horizontal bar chart showing 33 passes for the Gemma base, 28 for the targeted 1,560-step adapter, and 24 each for the control continuation and source step-780 adapter."/>
            <wp:cNvGraphicFramePr>
              <a:graphicFrameLocks noChangeAspect="1"/>
            </wp:cNvGraphicFramePr>
            <a:graphic>
              <a:graphicData uri="http://schemas.openxmlformats.org/drawingml/2006/picture">
                <pic:pic>
                  <pic:nvPicPr>
                    <pic:cNvPr id="0" name="kinyalm_screening_chart.png"/>
                    <pic:cNvPicPr/>
                  </pic:nvPicPr>
                  <pic:blipFill>
                    <a:blip r:embed="rId11"/>
                    <a:stretch>
                      <a:fillRect/>
                    </a:stretch>
                  </pic:blipFill>
                  <pic:spPr>
                    <a:xfrm>
                      <a:off x="0" y="0"/>
                      <a:ext cx="5715000" cy="2133600"/>
                    </a:xfrm>
                    <a:prstGeom prst="rect"/>
                  </pic:spPr>
                </pic:pic>
              </a:graphicData>
            </a:graphic>
          </wp:inline>
        </w:drawing>
      </w:r>
    </w:p>
    <w:p>
      <w:pPr>
        <w:spacing w:before="0" w:after="160"/>
        <w:jc w:val="center"/>
      </w:pPr>
      <w:r>
        <w:rPr>
          <w:rFonts w:ascii="Calibri" w:hAnsi="Calibri"/>
          <w:b w:val="0"/>
          <w:i/>
          <w:color w:val="64748B"/>
          <w:sz w:val="18"/>
        </w:rPr>
        <w:t>Figure 1. Model-assisted development-screen passes out of 150 prompts.</w:t>
      </w:r>
    </w:p>
    <w:p>
      <w:pPr/>
      <w:r>
        <w:rPr>
          <w:rFonts w:ascii="Calibri" w:hAnsi="Calibri"/>
          <w:b w:val="0"/>
          <w:i w:val="0"/>
          <w:color w:val="1F2937"/>
          <w:sz w:val="22"/>
        </w:rPr>
        <w:t>Relative to the earlier adapters, the targeted continuation gained four passes, or 2.67 percentage points. Relative to the unchanged base, it recovered 16 prompts that Gemma failed but regressed on 21 prompts that Gemma passed. The paired 95% confidence interval was -11.33 to +4.67 percentage points, so this screen does not establish a reliable overall win over Gemma.</w:t>
      </w:r>
    </w:p>
    <w:p>
      <w:pPr>
        <w:pStyle w:val="Heading1"/>
        <w:keepNext/>
        <w:pageBreakBefore/>
      </w:pPr>
      <w:r>
        <w:t>Where the Targeted Curriculum Helped</w:t>
      </w:r>
    </w:p>
    <w:tbl>
      <w:tblPr>
        <w:tblW w:type="dxa" w:w="9360"/>
        <w:jc w:val="left"/>
        <w:tblLayout w:type="fixed"/>
        <w:tblLook w:firstColumn="1" w:firstRow="1" w:lastColumn="0" w:lastRow="0" w:noHBand="0" w:noVBand="1" w:val="04A0"/>
        <w:tblInd w:w="120" w:type="dxa"/>
        <w:tblBorders>
          <w:top w:val="single" w:sz="5" w:space="0" w:color="D5DAE1"/>
          <w:left w:val="single" w:sz="5" w:space="0" w:color="D5DAE1"/>
          <w:bottom w:val="single" w:sz="5" w:space="0" w:color="D5DAE1"/>
          <w:right w:val="single" w:sz="5" w:space="0" w:color="D5DAE1"/>
          <w:insideH w:val="single" w:sz="5" w:space="0" w:color="D5DAE1"/>
          <w:insideV w:val="single" w:sz="5" w:space="0" w:color="D5DAE1"/>
        </w:tblBorders>
      </w:tblPr>
      <w:tblGrid>
        <w:gridCol w:w="3960"/>
        <w:gridCol w:w="1700"/>
        <w:gridCol w:w="1700"/>
        <w:gridCol w:w="2000"/>
      </w:tblGrid>
      <w:tr>
        <w:trPr>
          <w:tblHeader w:val="true"/>
        </w:trPr>
        <w:tc>
          <w:tcPr>
            <w:tcW w:type="dxa" w:w="3960"/>
            <w:tcMar>
              <w:top w:w="80" w:type="dxa"/>
              <w:start w:w="120" w:type="dxa"/>
              <w:bottom w:w="80" w:type="dxa"/>
              <w:end w:w="120" w:type="dxa"/>
            </w:tcMar>
            <w:vAlign w:val="center"/>
            <w:shd w:fill="F2F4F7"/>
          </w:tcPr>
          <w:p>
            <w:pPr>
              <w:spacing w:before="0" w:after="0"/>
              <w:jc w:val="left"/>
            </w:pPr>
            <w:r>
              <w:rPr>
                <w:rFonts w:ascii="Calibri" w:hAnsi="Calibri"/>
                <w:b/>
                <w:i w:val="0"/>
                <w:color w:val="1F4D78"/>
                <w:sz w:val="19"/>
              </w:rPr>
              <w:t>Capability</w:t>
            </w:r>
          </w:p>
        </w:tc>
        <w:tc>
          <w:tcPr>
            <w:tcW w:type="dxa" w:w="1700"/>
            <w:tcMar>
              <w:top w:w="80" w:type="dxa"/>
              <w:start w:w="120" w:type="dxa"/>
              <w:bottom w:w="80" w:type="dxa"/>
              <w:end w:w="120" w:type="dxa"/>
            </w:tcMar>
            <w:vAlign w:val="center"/>
            <w:shd w:fill="F2F4F7"/>
          </w:tcPr>
          <w:p>
            <w:pPr>
              <w:spacing w:before="0" w:after="0"/>
              <w:jc w:val="center"/>
            </w:pPr>
            <w:r>
              <w:rPr>
                <w:rFonts w:ascii="Calibri" w:hAnsi="Calibri"/>
                <w:b/>
                <w:i w:val="0"/>
                <w:color w:val="1F4D78"/>
                <w:sz w:val="19"/>
              </w:rPr>
              <w:t>Gemma base</w:t>
            </w:r>
          </w:p>
        </w:tc>
        <w:tc>
          <w:tcPr>
            <w:tcW w:type="dxa" w:w="1700"/>
            <w:tcMar>
              <w:top w:w="80" w:type="dxa"/>
              <w:start w:w="120" w:type="dxa"/>
              <w:bottom w:w="80" w:type="dxa"/>
              <w:end w:w="120" w:type="dxa"/>
            </w:tcMar>
            <w:vAlign w:val="center"/>
            <w:shd w:fill="F2F4F7"/>
          </w:tcPr>
          <w:p>
            <w:pPr>
              <w:spacing w:before="0" w:after="0"/>
              <w:jc w:val="center"/>
            </w:pPr>
            <w:r>
              <w:rPr>
                <w:rFonts w:ascii="Calibri" w:hAnsi="Calibri"/>
                <w:b/>
                <w:i w:val="0"/>
                <w:color w:val="1F4D78"/>
                <w:sz w:val="19"/>
              </w:rPr>
              <w:t>Targeted</w:t>
            </w:r>
          </w:p>
        </w:tc>
        <w:tc>
          <w:tcPr>
            <w:tcW w:type="dxa" w:w="2000"/>
            <w:tcMar>
              <w:top w:w="80" w:type="dxa"/>
              <w:start w:w="120" w:type="dxa"/>
              <w:bottom w:w="80" w:type="dxa"/>
              <w:end w:w="120" w:type="dxa"/>
            </w:tcMar>
            <w:vAlign w:val="center"/>
            <w:shd w:fill="F2F4F7"/>
          </w:tcPr>
          <w:p>
            <w:pPr>
              <w:spacing w:before="0" w:after="0"/>
              <w:jc w:val="center"/>
            </w:pPr>
            <w:r>
              <w:rPr>
                <w:rFonts w:ascii="Calibri" w:hAnsi="Calibri"/>
                <w:b/>
                <w:i w:val="0"/>
                <w:color w:val="1F4D78"/>
                <w:sz w:val="19"/>
              </w:rPr>
              <w:t>Change</w:t>
            </w:r>
          </w:p>
        </w:tc>
      </w:tr>
      <w:tr>
        <w:tc>
          <w:tcPr>
            <w:tcW w:type="dxa" w:w="3960"/>
            <w:tcMar>
              <w:top w:w="80" w:type="dxa"/>
              <w:start w:w="120" w:type="dxa"/>
              <w:bottom w:w="80" w:type="dxa"/>
              <w:end w:w="120" w:type="dxa"/>
            </w:tcMar>
            <w:vAlign w:val="center"/>
          </w:tcPr>
          <w:p>
            <w:pPr>
              <w:spacing w:before="0" w:after="0" w:line="252" w:lineRule="auto"/>
              <w:jc w:val="left"/>
            </w:pPr>
            <w:r>
              <w:rPr>
                <w:rFonts w:ascii="Calibri" w:hAnsi="Calibri"/>
                <w:b/>
                <w:i w:val="0"/>
                <w:color w:val="1F2937"/>
                <w:sz w:val="19"/>
              </w:rPr>
              <w:t>Morphology and grammar</w:t>
            </w:r>
          </w:p>
        </w:tc>
        <w:tc>
          <w:tcPr>
            <w:tcW w:type="dxa" w:w="1700"/>
            <w:tcMar>
              <w:top w:w="80" w:type="dxa"/>
              <w:start w:w="120" w:type="dxa"/>
              <w:bottom w:w="80" w:type="dxa"/>
              <w:end w:w="120" w:type="dxa"/>
            </w:tcMar>
            <w:vAlign w:val="center"/>
          </w:tcPr>
          <w:p>
            <w:pPr>
              <w:spacing w:before="0" w:after="0" w:line="252" w:lineRule="auto"/>
              <w:jc w:val="center"/>
            </w:pPr>
            <w:r>
              <w:rPr>
                <w:rFonts w:ascii="Calibri" w:hAnsi="Calibri"/>
                <w:b/>
                <w:i w:val="0"/>
                <w:color w:val="1F2937"/>
                <w:sz w:val="19"/>
              </w:rPr>
              <w:t>10%</w:t>
            </w:r>
          </w:p>
        </w:tc>
        <w:tc>
          <w:tcPr>
            <w:tcW w:type="dxa" w:w="1700"/>
            <w:tcMar>
              <w:top w:w="80" w:type="dxa"/>
              <w:start w:w="120" w:type="dxa"/>
              <w:bottom w:w="80" w:type="dxa"/>
              <w:end w:w="120" w:type="dxa"/>
            </w:tcMar>
            <w:vAlign w:val="center"/>
          </w:tcPr>
          <w:p>
            <w:pPr>
              <w:spacing w:before="0" w:after="0" w:line="252" w:lineRule="auto"/>
              <w:jc w:val="center"/>
            </w:pPr>
            <w:r>
              <w:rPr>
                <w:rFonts w:ascii="Calibri" w:hAnsi="Calibri"/>
                <w:b/>
                <w:i w:val="0"/>
                <w:color w:val="1F2937"/>
                <w:sz w:val="19"/>
              </w:rPr>
              <w:t>20%</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b/>
                <w:i w:val="0"/>
                <w:color w:val="24734A"/>
                <w:sz w:val="19"/>
              </w:rPr>
              <w:t>+10 pp</w:t>
            </w:r>
          </w:p>
        </w:tc>
      </w:tr>
      <w:tr>
        <w:tc>
          <w:tcPr>
            <w:tcW w:type="dxa" w:w="3960"/>
            <w:tcMar>
              <w:top w:w="80" w:type="dxa"/>
              <w:start w:w="120" w:type="dxa"/>
              <w:bottom w:w="80" w:type="dxa"/>
              <w:end w:w="120" w:type="dxa"/>
            </w:tcMar>
            <w:vAlign w:val="center"/>
            <w:shd w:fill="FAFBFC"/>
          </w:tcPr>
          <w:p>
            <w:pPr>
              <w:spacing w:before="0" w:after="0" w:line="252" w:lineRule="auto"/>
              <w:jc w:val="left"/>
            </w:pPr>
            <w:r>
              <w:rPr>
                <w:rFonts w:ascii="Calibri" w:hAnsi="Calibri"/>
                <w:b w:val="0"/>
                <w:i w:val="0"/>
                <w:color w:val="1F2937"/>
                <w:sz w:val="19"/>
              </w:rPr>
              <w:t>Sentence correction</w:t>
            </w:r>
          </w:p>
        </w:tc>
        <w:tc>
          <w:tcPr>
            <w:tcW w:type="dxa" w:w="1700"/>
            <w:tcMar>
              <w:top w:w="80" w:type="dxa"/>
              <w:start w:w="120" w:type="dxa"/>
              <w:bottom w:w="80" w:type="dxa"/>
              <w:end w:w="120" w:type="dxa"/>
            </w:tcMar>
            <w:vAlign w:val="center"/>
            <w:shd w:fill="FAFBFC"/>
          </w:tcPr>
          <w:p>
            <w:pPr>
              <w:spacing w:before="0" w:after="0" w:line="252" w:lineRule="auto"/>
              <w:jc w:val="center"/>
            </w:pPr>
            <w:r>
              <w:rPr>
                <w:rFonts w:ascii="Calibri" w:hAnsi="Calibri"/>
                <w:b w:val="0"/>
                <w:i w:val="0"/>
                <w:color w:val="1F2937"/>
                <w:sz w:val="19"/>
              </w:rPr>
              <w:t>10%</w:t>
            </w:r>
          </w:p>
        </w:tc>
        <w:tc>
          <w:tcPr>
            <w:tcW w:type="dxa" w:w="1700"/>
            <w:tcMar>
              <w:top w:w="80" w:type="dxa"/>
              <w:start w:w="120" w:type="dxa"/>
              <w:bottom w:w="80" w:type="dxa"/>
              <w:end w:w="120" w:type="dxa"/>
            </w:tcMar>
            <w:vAlign w:val="center"/>
            <w:shd w:fill="FAFBFC"/>
          </w:tcPr>
          <w:p>
            <w:pPr>
              <w:spacing w:before="0" w:after="0" w:line="252" w:lineRule="auto"/>
              <w:jc w:val="center"/>
            </w:pPr>
            <w:r>
              <w:rPr>
                <w:rFonts w:ascii="Calibri" w:hAnsi="Calibri"/>
                <w:b w:val="0"/>
                <w:i w:val="0"/>
                <w:color w:val="1F2937"/>
                <w:sz w:val="19"/>
              </w:rPr>
              <w:t>25%</w:t>
            </w:r>
          </w:p>
        </w:tc>
        <w:tc>
          <w:tcPr>
            <w:tcW w:type="dxa" w:w="2000"/>
            <w:tcMar>
              <w:top w:w="80" w:type="dxa"/>
              <w:start w:w="120" w:type="dxa"/>
              <w:bottom w:w="80" w:type="dxa"/>
              <w:end w:w="120" w:type="dxa"/>
            </w:tcMar>
            <w:vAlign w:val="center"/>
            <w:shd w:fill="FAFBFC"/>
          </w:tcPr>
          <w:p>
            <w:pPr>
              <w:spacing w:before="0" w:after="0" w:line="252" w:lineRule="auto"/>
              <w:jc w:val="center"/>
            </w:pPr>
            <w:r>
              <w:rPr>
                <w:rFonts w:ascii="Calibri" w:hAnsi="Calibri"/>
                <w:b/>
                <w:i w:val="0"/>
                <w:color w:val="24734A"/>
                <w:sz w:val="19"/>
              </w:rPr>
              <w:t>+15 pp</w:t>
            </w:r>
          </w:p>
        </w:tc>
      </w:tr>
      <w:tr>
        <w:tc>
          <w:tcPr>
            <w:tcW w:type="dxa" w:w="39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Kinyarwanda to English</w:t>
            </w:r>
          </w:p>
        </w:tc>
        <w:tc>
          <w:tcPr>
            <w:tcW w:type="dxa" w:w="170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9"/>
              </w:rPr>
              <w:t>40%</w:t>
            </w:r>
          </w:p>
        </w:tc>
        <w:tc>
          <w:tcPr>
            <w:tcW w:type="dxa" w:w="170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9"/>
              </w:rPr>
              <w:t>60%</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b/>
                <w:i w:val="0"/>
                <w:color w:val="24734A"/>
                <w:sz w:val="19"/>
              </w:rPr>
              <w:t>+20 pp</w:t>
            </w:r>
          </w:p>
        </w:tc>
      </w:tr>
    </w:tbl>
    <w:p>
      <w:pPr/>
      <w:r>
        <w:rPr>
          <w:rFonts w:ascii="Calibri" w:hAnsi="Calibri"/>
          <w:b w:val="0"/>
          <w:i w:val="0"/>
          <w:color w:val="1F2937"/>
          <w:sz w:val="22"/>
        </w:rPr>
        <w:t>These category gains are the clearest evidence that the adapter learned from the targeted curriculum. They matter because they match three central KinyaLM goals: explaining language structure, correcting learner mistakes, and supporting bilingual understanding. They remain development signals rather than final product claims because each category contains a small number of prompts and the current scoring was performed by a model judge.</w:t>
      </w:r>
    </w:p>
    <w:p>
      <w:pPr>
        <w:pStyle w:val="Heading1"/>
        <w:keepNext/>
      </w:pPr>
      <w:r>
        <w:t>Where Performance Still Regressed</w:t>
      </w:r>
    </w:p>
    <w:tbl>
      <w:tblPr>
        <w:tblW w:type="dxa" w:w="9360"/>
        <w:jc w:val="left"/>
        <w:tblLayout w:type="fixed"/>
        <w:tblLook w:firstColumn="1" w:firstRow="1" w:lastColumn="0" w:lastRow="0" w:noHBand="0" w:noVBand="1" w:val="04A0"/>
        <w:tblInd w:w="120" w:type="dxa"/>
        <w:tblBorders>
          <w:top w:val="single" w:sz="5" w:space="0" w:color="D5DAE1"/>
          <w:left w:val="single" w:sz="5" w:space="0" w:color="D5DAE1"/>
          <w:bottom w:val="single" w:sz="5" w:space="0" w:color="D5DAE1"/>
          <w:right w:val="single" w:sz="5" w:space="0" w:color="D5DAE1"/>
          <w:insideH w:val="single" w:sz="5" w:space="0" w:color="D5DAE1"/>
          <w:insideV w:val="single" w:sz="5" w:space="0" w:color="D5DAE1"/>
        </w:tblBorders>
      </w:tblPr>
      <w:tblGrid>
        <w:gridCol w:w="5360"/>
        <w:gridCol w:w="2000"/>
        <w:gridCol w:w="2000"/>
      </w:tblGrid>
      <w:tr>
        <w:trPr>
          <w:tblHeader w:val="true"/>
        </w:trPr>
        <w:tc>
          <w:tcPr>
            <w:tcW w:type="dxa" w:w="5360"/>
            <w:tcMar>
              <w:top w:w="80" w:type="dxa"/>
              <w:start w:w="120" w:type="dxa"/>
              <w:bottom w:w="80" w:type="dxa"/>
              <w:end w:w="120" w:type="dxa"/>
            </w:tcMar>
            <w:vAlign w:val="center"/>
            <w:shd w:fill="F2F4F7"/>
          </w:tcPr>
          <w:p>
            <w:pPr>
              <w:spacing w:before="0" w:after="0"/>
              <w:jc w:val="left"/>
            </w:pPr>
            <w:r>
              <w:rPr>
                <w:rFonts w:ascii="Calibri" w:hAnsi="Calibri"/>
                <w:b/>
                <w:i w:val="0"/>
                <w:color w:val="1F4D78"/>
                <w:sz w:val="19"/>
              </w:rPr>
              <w:t>Capability</w:t>
            </w:r>
          </w:p>
        </w:tc>
        <w:tc>
          <w:tcPr>
            <w:tcW w:type="dxa" w:w="2000"/>
            <w:tcMar>
              <w:top w:w="80" w:type="dxa"/>
              <w:start w:w="120" w:type="dxa"/>
              <w:bottom w:w="80" w:type="dxa"/>
              <w:end w:w="120" w:type="dxa"/>
            </w:tcMar>
            <w:vAlign w:val="center"/>
            <w:shd w:fill="F2F4F7"/>
          </w:tcPr>
          <w:p>
            <w:pPr>
              <w:spacing w:before="0" w:after="0"/>
              <w:jc w:val="center"/>
            </w:pPr>
            <w:r>
              <w:rPr>
                <w:rFonts w:ascii="Calibri" w:hAnsi="Calibri"/>
                <w:b/>
                <w:i w:val="0"/>
                <w:color w:val="1F4D78"/>
                <w:sz w:val="19"/>
              </w:rPr>
              <w:t>Gemma base</w:t>
            </w:r>
          </w:p>
        </w:tc>
        <w:tc>
          <w:tcPr>
            <w:tcW w:type="dxa" w:w="2000"/>
            <w:tcMar>
              <w:top w:w="80" w:type="dxa"/>
              <w:start w:w="120" w:type="dxa"/>
              <w:bottom w:w="80" w:type="dxa"/>
              <w:end w:w="120" w:type="dxa"/>
            </w:tcMar>
            <w:vAlign w:val="center"/>
            <w:shd w:fill="F2F4F7"/>
          </w:tcPr>
          <w:p>
            <w:pPr>
              <w:spacing w:before="0" w:after="0"/>
              <w:jc w:val="center"/>
            </w:pPr>
            <w:r>
              <w:rPr>
                <w:rFonts w:ascii="Calibri" w:hAnsi="Calibri"/>
                <w:b/>
                <w:i w:val="0"/>
                <w:color w:val="1F4D78"/>
                <w:sz w:val="19"/>
              </w:rPr>
              <w:t>Targeted</w:t>
            </w:r>
          </w:p>
        </w:tc>
      </w:tr>
      <w:tr>
        <w:tc>
          <w:tcPr>
            <w:tcW w:type="dxa" w:w="5360"/>
            <w:tcMar>
              <w:top w:w="80" w:type="dxa"/>
              <w:start w:w="120" w:type="dxa"/>
              <w:bottom w:w="80" w:type="dxa"/>
              <w:end w:w="120" w:type="dxa"/>
            </w:tcMar>
            <w:vAlign w:val="center"/>
          </w:tcPr>
          <w:p>
            <w:pPr>
              <w:spacing w:before="0" w:after="0" w:line="252" w:lineRule="auto"/>
              <w:jc w:val="left"/>
            </w:pPr>
            <w:r>
              <w:rPr>
                <w:rFonts w:ascii="Calibri" w:hAnsi="Calibri"/>
                <w:b/>
                <w:i w:val="0"/>
                <w:color w:val="1F2937"/>
                <w:sz w:val="19"/>
              </w:rPr>
              <w:t>Ambiguity and uncertainty</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b/>
                <w:i w:val="0"/>
                <w:color w:val="1F2937"/>
                <w:sz w:val="19"/>
              </w:rPr>
              <w:t>80%</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b/>
                <w:i w:val="0"/>
                <w:color w:val="1F2937"/>
                <w:sz w:val="19"/>
              </w:rPr>
              <w:t>20%</w:t>
            </w:r>
          </w:p>
        </w:tc>
      </w:tr>
      <w:tr>
        <w:tc>
          <w:tcPr>
            <w:tcW w:type="dxa" w:w="5360"/>
            <w:tcMar>
              <w:top w:w="80" w:type="dxa"/>
              <w:start w:w="120" w:type="dxa"/>
              <w:bottom w:w="80" w:type="dxa"/>
              <w:end w:w="120" w:type="dxa"/>
            </w:tcMar>
            <w:vAlign w:val="center"/>
            <w:shd w:fill="FAFBFC"/>
          </w:tcPr>
          <w:p>
            <w:pPr>
              <w:spacing w:before="0" w:after="0" w:line="252" w:lineRule="auto"/>
              <w:jc w:val="left"/>
            </w:pPr>
            <w:r>
              <w:rPr>
                <w:rFonts w:ascii="Calibri" w:hAnsi="Calibri"/>
                <w:b w:val="0"/>
                <w:i w:val="0"/>
                <w:color w:val="1F2937"/>
                <w:sz w:val="19"/>
              </w:rPr>
              <w:t>Greetings</w:t>
            </w:r>
          </w:p>
        </w:tc>
        <w:tc>
          <w:tcPr>
            <w:tcW w:type="dxa" w:w="2000"/>
            <w:tcMar>
              <w:top w:w="80" w:type="dxa"/>
              <w:start w:w="120" w:type="dxa"/>
              <w:bottom w:w="80" w:type="dxa"/>
              <w:end w:w="120" w:type="dxa"/>
            </w:tcMar>
            <w:vAlign w:val="center"/>
            <w:shd w:fill="FAFBFC"/>
          </w:tcPr>
          <w:p>
            <w:pPr>
              <w:spacing w:before="0" w:after="0" w:line="252" w:lineRule="auto"/>
              <w:jc w:val="center"/>
            </w:pPr>
            <w:r>
              <w:rPr>
                <w:rFonts w:ascii="Calibri" w:hAnsi="Calibri"/>
                <w:b w:val="0"/>
                <w:i w:val="0"/>
                <w:color w:val="1F2937"/>
                <w:sz w:val="19"/>
              </w:rPr>
              <w:t>40%</w:t>
            </w:r>
          </w:p>
        </w:tc>
        <w:tc>
          <w:tcPr>
            <w:tcW w:type="dxa" w:w="2000"/>
            <w:tcMar>
              <w:top w:w="80" w:type="dxa"/>
              <w:start w:w="120" w:type="dxa"/>
              <w:bottom w:w="80" w:type="dxa"/>
              <w:end w:w="120" w:type="dxa"/>
            </w:tcMar>
            <w:vAlign w:val="center"/>
            <w:shd w:fill="FAFBFC"/>
          </w:tcPr>
          <w:p>
            <w:pPr>
              <w:spacing w:before="0" w:after="0" w:line="252" w:lineRule="auto"/>
              <w:jc w:val="center"/>
            </w:pPr>
            <w:r>
              <w:rPr>
                <w:rFonts w:ascii="Calibri" w:hAnsi="Calibri"/>
                <w:b w:val="0"/>
                <w:i w:val="0"/>
                <w:color w:val="1F2937"/>
                <w:sz w:val="19"/>
              </w:rPr>
              <w:t>10%</w:t>
            </w:r>
          </w:p>
        </w:tc>
      </w:tr>
      <w:tr>
        <w:tc>
          <w:tcPr>
            <w:tcW w:type="dxa" w:w="53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Reading and multi-turn consistency</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9"/>
              </w:rPr>
              <w:t>20%</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9"/>
              </w:rPr>
              <w:t>0%</w:t>
            </w:r>
          </w:p>
        </w:tc>
      </w:tr>
      <w:tr>
        <w:tc>
          <w:tcPr>
            <w:tcW w:type="dxa" w:w="5360"/>
            <w:tcMar>
              <w:top w:w="80" w:type="dxa"/>
              <w:start w:w="120" w:type="dxa"/>
              <w:bottom w:w="80" w:type="dxa"/>
              <w:end w:w="120" w:type="dxa"/>
            </w:tcMar>
            <w:vAlign w:val="center"/>
            <w:shd w:fill="FAFBFC"/>
          </w:tcPr>
          <w:p>
            <w:pPr>
              <w:spacing w:before="0" w:after="0" w:line="252" w:lineRule="auto"/>
              <w:jc w:val="left"/>
            </w:pPr>
            <w:r>
              <w:rPr>
                <w:rFonts w:ascii="Calibri" w:hAnsi="Calibri"/>
                <w:b w:val="0"/>
                <w:i w:val="0"/>
                <w:color w:val="1F2937"/>
                <w:sz w:val="19"/>
              </w:rPr>
              <w:t>Dialogue</w:t>
            </w:r>
          </w:p>
        </w:tc>
        <w:tc>
          <w:tcPr>
            <w:tcW w:type="dxa" w:w="2000"/>
            <w:tcMar>
              <w:top w:w="80" w:type="dxa"/>
              <w:start w:w="120" w:type="dxa"/>
              <w:bottom w:w="80" w:type="dxa"/>
              <w:end w:w="120" w:type="dxa"/>
            </w:tcMar>
            <w:vAlign w:val="center"/>
            <w:shd w:fill="FAFBFC"/>
          </w:tcPr>
          <w:p>
            <w:pPr>
              <w:spacing w:before="0" w:after="0" w:line="252" w:lineRule="auto"/>
              <w:jc w:val="center"/>
            </w:pPr>
            <w:r>
              <w:rPr>
                <w:rFonts w:ascii="Calibri" w:hAnsi="Calibri"/>
                <w:b w:val="0"/>
                <w:i w:val="0"/>
                <w:color w:val="1F2937"/>
                <w:sz w:val="19"/>
              </w:rPr>
              <w:t>10%</w:t>
            </w:r>
          </w:p>
        </w:tc>
        <w:tc>
          <w:tcPr>
            <w:tcW w:type="dxa" w:w="2000"/>
            <w:tcMar>
              <w:top w:w="80" w:type="dxa"/>
              <w:start w:w="120" w:type="dxa"/>
              <w:bottom w:w="80" w:type="dxa"/>
              <w:end w:w="120" w:type="dxa"/>
            </w:tcMar>
            <w:vAlign w:val="center"/>
            <w:shd w:fill="FAFBFC"/>
          </w:tcPr>
          <w:p>
            <w:pPr>
              <w:spacing w:before="0" w:after="0" w:line="252" w:lineRule="auto"/>
              <w:jc w:val="center"/>
            </w:pPr>
            <w:r>
              <w:rPr>
                <w:rFonts w:ascii="Calibri" w:hAnsi="Calibri"/>
                <w:b w:val="0"/>
                <w:i w:val="0"/>
                <w:color w:val="1F2937"/>
                <w:sz w:val="19"/>
              </w:rPr>
              <w:t>0%</w:t>
            </w:r>
          </w:p>
        </w:tc>
      </w:tr>
      <w:tr>
        <w:tc>
          <w:tcPr>
            <w:tcW w:type="dxa" w:w="53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English to Kinyarwanda</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9"/>
              </w:rPr>
              <w:t>20%</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b w:val="0"/>
                <w:i w:val="0"/>
                <w:color w:val="1F2937"/>
                <w:sz w:val="19"/>
              </w:rPr>
              <w:t>10%</w:t>
            </w:r>
          </w:p>
        </w:tc>
      </w:tr>
    </w:tbl>
    <w:p>
      <w:pPr>
        <w:spacing w:before="80" w:after="200" w:line="259" w:lineRule="auto"/>
        <w:ind w:left="187" w:right="115"/>
        <w:shd w:fill="FDECEC"/>
        <w:pBdr>
          <w:left w:val="single" w:sz="18" w:space="8" w:color="9B1C1C"/>
        </w:pBdr>
      </w:pPr>
      <w:r>
        <w:rPr>
          <w:rFonts w:ascii="Calibri" w:hAnsi="Calibri"/>
          <w:b/>
          <w:i w:val="0"/>
          <w:color w:val="9B1C1C"/>
          <w:sz w:val="21"/>
        </w:rPr>
        <w:t xml:space="preserve">RELEASE BLOCKER  </w:t>
      </w:r>
      <w:r>
        <w:rPr>
          <w:rFonts w:ascii="Calibri" w:hAnsi="Calibri"/>
          <w:b w:val="0"/>
          <w:i w:val="0"/>
          <w:color w:val="1F2937"/>
          <w:sz w:val="21"/>
        </w:rPr>
        <w:t>The targeted adapter repeated on 28 of 150 prompts, compared with seven for the base. In one live correction test, it consumed the full output allowance repeating the same word while the base supplied a useful correction. This behavior must be fixed before promotion.</w:t>
      </w:r>
    </w:p>
    <w:p>
      <w:pPr>
        <w:pStyle w:val="Heading1"/>
        <w:keepNext/>
      </w:pPr>
      <w:r>
        <w:t>What the Result Means</w:t>
      </w:r>
    </w:p>
    <w:p>
      <w:pPr/>
      <w:r>
        <w:rPr>
          <w:rFonts w:ascii="Calibri" w:hAnsi="Calibri"/>
          <w:b w:val="0"/>
          <w:i w:val="0"/>
          <w:color w:val="1F2937"/>
          <w:sz w:val="22"/>
        </w:rPr>
        <w:t>The experiment supports a narrower and more useful conclusion than a simple “fine-tuning worked” claim. Targeted supervised data changed the model in the intended direction, and the targeted continuation outperformed two earlier adapters. At the same time, the adapter did not preserve enough of Gemma’s general conversational stability. More steps alone are therefore unlikely to be the complete answer; the next training mixture must explicitly protect the abilities that regressed.</w:t>
      </w:r>
    </w:p>
    <w:p>
      <w:pPr/>
      <w:r>
        <w:rPr>
          <w:rFonts w:ascii="Calibri" w:hAnsi="Calibri"/>
          <w:b w:val="0"/>
          <w:i w:val="0"/>
          <w:color w:val="1F2937"/>
          <w:sz w:val="22"/>
        </w:rPr>
        <w:t>The evaluation is also a development screen, not a final benchmark. The 150 prompts may overlap conceptually with examples used while shaping the training data, and the scores come from a model judge. Native-speaker review and a new hidden test set are required before any public claim that KinyaLM outperforms its base model.</w:t>
      </w:r>
    </w:p>
    <w:p>
      <w:pPr>
        <w:pStyle w:val="Heading1"/>
        <w:keepNext/>
        <w:pageBreakBefore/>
      </w:pPr>
      <w:r>
        <w:t>Recommended Next Step</w:t>
      </w:r>
    </w:p>
    <w:p>
      <w:pPr/>
      <w:r>
        <w:rPr>
          <w:rFonts w:ascii="Calibri" w:hAnsi="Calibri"/>
          <w:b w:val="0"/>
          <w:i w:val="0"/>
          <w:color w:val="1F2937"/>
          <w:sz w:val="22"/>
        </w:rPr>
        <w:t>Keep this checkpoint as the leading adapter candidate, but keep the unchanged Gemma model as the performance baseline. Review the 16 recovered prompts and 21 regressions side by side, retain examples responsible for the Kinyarwanda gains, and add carefully rewritten demonstrations for greetings, uncertainty, dialogue, context retention, English-to-Kinyarwanda translation, and non-repetitive stopping behavior.</w:t>
      </w:r>
    </w:p>
    <w:p>
      <w:pPr/>
      <w:r>
        <w:rPr>
          <w:rFonts w:ascii="Calibri" w:hAnsi="Calibri"/>
          <w:b w:val="0"/>
          <w:i w:val="0"/>
          <w:color w:val="1F2937"/>
          <w:sz w:val="22"/>
        </w:rPr>
        <w:t>The next adapter should be selected by identical blinded generation and native review, not by validation loss alone. Promotion should require a clear overall advantage on a new hidden set and no unacceptable repetition failures.</w:t>
      </w:r>
    </w:p>
    <w:p>
      <w:pPr>
        <w:pStyle w:val="Heading1"/>
        <w:keepNext/>
      </w:pPr>
      <w:r>
        <w:t>Reproducibility Record</w:t>
      </w:r>
    </w:p>
    <w:tbl>
      <w:tblPr>
        <w:tblW w:type="dxa" w:w="9360"/>
        <w:jc w:val="left"/>
        <w:tblLayout w:type="fixed"/>
        <w:tblLook w:firstColumn="1" w:firstRow="1" w:lastColumn="0" w:lastRow="0" w:noHBand="0" w:noVBand="1" w:val="04A0"/>
        <w:tblInd w:w="120" w:type="dxa"/>
        <w:tblBorders>
          <w:top w:val="single" w:sz="5" w:space="0" w:color="D5DAE1"/>
          <w:left w:val="single" w:sz="5" w:space="0" w:color="D5DAE1"/>
          <w:bottom w:val="single" w:sz="5" w:space="0" w:color="D5DAE1"/>
          <w:right w:val="single" w:sz="5" w:space="0" w:color="D5DAE1"/>
          <w:insideH w:val="single" w:sz="5" w:space="0" w:color="D5DAE1"/>
          <w:insideV w:val="single" w:sz="5" w:space="0" w:color="D5DAE1"/>
        </w:tblBorders>
      </w:tblPr>
      <w:tblGrid>
        <w:gridCol w:w="2500"/>
        <w:gridCol w:w="6860"/>
      </w:tblGrid>
      <w:tr>
        <w:trPr>
          <w:tblHeader w:val="true"/>
        </w:trPr>
        <w:tc>
          <w:tcPr>
            <w:tcW w:type="dxa" w:w="2500"/>
            <w:tcMar>
              <w:top w:w="80" w:type="dxa"/>
              <w:start w:w="120" w:type="dxa"/>
              <w:bottom w:w="80" w:type="dxa"/>
              <w:end w:w="120" w:type="dxa"/>
            </w:tcMar>
            <w:vAlign w:val="center"/>
            <w:shd w:fill="F2F4F7"/>
          </w:tcPr>
          <w:p>
            <w:pPr>
              <w:spacing w:before="0" w:after="0"/>
              <w:jc w:val="left"/>
            </w:pPr>
            <w:r>
              <w:rPr>
                <w:rFonts w:ascii="Calibri" w:hAnsi="Calibri"/>
                <w:b/>
                <w:i w:val="0"/>
                <w:color w:val="1F4D78"/>
                <w:sz w:val="19"/>
              </w:rPr>
              <w:t>Item</w:t>
            </w:r>
          </w:p>
        </w:tc>
        <w:tc>
          <w:tcPr>
            <w:tcW w:type="dxa" w:w="6860"/>
            <w:tcMar>
              <w:top w:w="80" w:type="dxa"/>
              <w:start w:w="120" w:type="dxa"/>
              <w:bottom w:w="80" w:type="dxa"/>
              <w:end w:w="120" w:type="dxa"/>
            </w:tcMar>
            <w:vAlign w:val="center"/>
            <w:shd w:fill="F2F4F7"/>
          </w:tcPr>
          <w:p>
            <w:pPr>
              <w:spacing w:before="0" w:after="0"/>
              <w:jc w:val="left"/>
            </w:pPr>
            <w:r>
              <w:rPr>
                <w:rFonts w:ascii="Calibri" w:hAnsi="Calibri"/>
                <w:b/>
                <w:i w:val="0"/>
                <w:color w:val="1F4D78"/>
                <w:sz w:val="19"/>
              </w:rPr>
              <w:t>Pinned value</w:t>
            </w:r>
          </w:p>
        </w:tc>
      </w:tr>
      <w:tr>
        <w:tc>
          <w:tcPr>
            <w:tcW w:type="dxa" w:w="2500"/>
            <w:tcMar>
              <w:top w:w="80" w:type="dxa"/>
              <w:start w:w="120" w:type="dxa"/>
              <w:bottom w:w="80" w:type="dxa"/>
              <w:end w:w="120" w:type="dxa"/>
            </w:tcMar>
            <w:vAlign w:val="center"/>
          </w:tcPr>
          <w:p>
            <w:pPr>
              <w:spacing w:before="0" w:after="0" w:line="252" w:lineRule="auto"/>
              <w:jc w:val="left"/>
            </w:pPr>
            <w:r>
              <w:rPr>
                <w:rFonts w:ascii="Calibri" w:hAnsi="Calibri"/>
                <w:b/>
                <w:i w:val="0"/>
                <w:color w:val="1F2937"/>
                <w:sz w:val="19"/>
              </w:rPr>
              <w:t>Base checkpoint</w:t>
            </w:r>
          </w:p>
        </w:tc>
        <w:tc>
          <w:tcPr>
            <w:tcW w:type="dxa" w:w="6860"/>
            <w:tcMar>
              <w:top w:w="80" w:type="dxa"/>
              <w:start w:w="120" w:type="dxa"/>
              <w:bottom w:w="80" w:type="dxa"/>
              <w:end w:w="120" w:type="dxa"/>
            </w:tcMar>
            <w:vAlign w:val="center"/>
          </w:tcPr>
          <w:p>
            <w:pPr>
              <w:spacing w:before="0" w:after="0" w:line="252" w:lineRule="auto"/>
              <w:jc w:val="left"/>
            </w:pPr>
            <w:r>
              <w:rPr>
                <w:rFonts w:ascii="Calibri" w:hAnsi="Calibri"/>
                <w:b/>
                <w:i w:val="0"/>
                <w:color w:val="1F2937"/>
                <w:sz w:val="19"/>
              </w:rPr>
              <w:t>mlx-community/gemma-4-12B-it-qat-4bit@e70c6b3ba097</w:t>
            </w:r>
          </w:p>
        </w:tc>
      </w:tr>
      <w:tr>
        <w:tc>
          <w:tcPr>
            <w:tcW w:type="dxa" w:w="2500"/>
            <w:tcMar>
              <w:top w:w="80" w:type="dxa"/>
              <w:start w:w="120" w:type="dxa"/>
              <w:bottom w:w="80" w:type="dxa"/>
              <w:end w:w="120" w:type="dxa"/>
            </w:tcMar>
            <w:vAlign w:val="center"/>
            <w:shd w:fill="FAFBFC"/>
          </w:tcPr>
          <w:p>
            <w:pPr>
              <w:spacing w:before="0" w:after="0" w:line="252" w:lineRule="auto"/>
              <w:jc w:val="left"/>
            </w:pPr>
            <w:r>
              <w:rPr>
                <w:rFonts w:ascii="Calibri" w:hAnsi="Calibri"/>
                <w:b w:val="0"/>
                <w:i w:val="0"/>
                <w:color w:val="1F2937"/>
                <w:sz w:val="19"/>
              </w:rPr>
              <w:t>Targeted adapter</w:t>
            </w:r>
          </w:p>
        </w:tc>
        <w:tc>
          <w:tcPr>
            <w:tcW w:type="dxa" w:w="6860"/>
            <w:tcMar>
              <w:top w:w="80" w:type="dxa"/>
              <w:start w:w="120" w:type="dxa"/>
              <w:bottom w:w="80" w:type="dxa"/>
              <w:end w:w="120" w:type="dxa"/>
            </w:tcMar>
            <w:vAlign w:val="center"/>
            <w:shd w:fill="FAFBFC"/>
          </w:tcPr>
          <w:p>
            <w:pPr>
              <w:spacing w:before="0" w:after="0" w:line="252" w:lineRule="auto"/>
              <w:jc w:val="left"/>
            </w:pPr>
            <w:r>
              <w:rPr>
                <w:rFonts w:ascii="Calibri" w:hAnsi="Calibri"/>
                <w:b w:val="0"/>
                <w:i w:val="0"/>
                <w:color w:val="1F2937"/>
                <w:sz w:val="19"/>
              </w:rPr>
              <w:t>kinyalm/kinyalm-gemma-4-12b-continuation-targeted-lr2e6</w:t>
            </w:r>
          </w:p>
        </w:tc>
      </w:tr>
      <w:tr>
        <w:tc>
          <w:tcPr>
            <w:tcW w:type="dxa" w:w="25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Adapter revision</w:t>
            </w:r>
          </w:p>
        </w:tc>
        <w:tc>
          <w:tcPr>
            <w:tcW w:type="dxa" w:w="68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274504f7bcd029230ea6dfe04bc251964642bbda</w:t>
            </w:r>
          </w:p>
        </w:tc>
      </w:tr>
      <w:tr>
        <w:tc>
          <w:tcPr>
            <w:tcW w:type="dxa" w:w="2500"/>
            <w:tcMar>
              <w:top w:w="80" w:type="dxa"/>
              <w:start w:w="120" w:type="dxa"/>
              <w:bottom w:w="80" w:type="dxa"/>
              <w:end w:w="120" w:type="dxa"/>
            </w:tcMar>
            <w:vAlign w:val="center"/>
            <w:shd w:fill="FAFBFC"/>
          </w:tcPr>
          <w:p>
            <w:pPr>
              <w:spacing w:before="0" w:after="0" w:line="252" w:lineRule="auto"/>
              <w:jc w:val="left"/>
            </w:pPr>
            <w:r>
              <w:rPr>
                <w:rFonts w:ascii="Calibri" w:hAnsi="Calibri"/>
                <w:b w:val="0"/>
                <w:i w:val="0"/>
                <w:color w:val="1F2937"/>
                <w:sz w:val="19"/>
              </w:rPr>
              <w:t>Converted adapter SHA-256</w:t>
            </w:r>
          </w:p>
        </w:tc>
        <w:tc>
          <w:tcPr>
            <w:tcW w:type="dxa" w:w="6860"/>
            <w:tcMar>
              <w:top w:w="80" w:type="dxa"/>
              <w:start w:w="120" w:type="dxa"/>
              <w:bottom w:w="80" w:type="dxa"/>
              <w:end w:w="120" w:type="dxa"/>
            </w:tcMar>
            <w:vAlign w:val="center"/>
            <w:shd w:fill="FAFBFC"/>
          </w:tcPr>
          <w:p>
            <w:pPr>
              <w:spacing w:before="0" w:after="0" w:line="252" w:lineRule="auto"/>
              <w:jc w:val="left"/>
            </w:pPr>
            <w:r>
              <w:rPr>
                <w:rFonts w:ascii="Calibri" w:hAnsi="Calibri"/>
                <w:b w:val="0"/>
                <w:i w:val="0"/>
                <w:color w:val="1F2937"/>
                <w:sz w:val="19"/>
              </w:rPr>
              <w:t>30fd3c2796843e9f38c42614a3401d66a4d904f1ab770fbf8454a245c913e544</w:t>
            </w:r>
          </w:p>
        </w:tc>
      </w:tr>
      <w:tr>
        <w:tc>
          <w:tcPr>
            <w:tcW w:type="dxa" w:w="25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Targeted data revision</w:t>
            </w:r>
          </w:p>
        </w:tc>
        <w:tc>
          <w:tcPr>
            <w:tcW w:type="dxa" w:w="68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55e8704731fdcbf589da91768bc8739c0ae741b5</w:t>
            </w:r>
          </w:p>
        </w:tc>
      </w:tr>
      <w:tr>
        <w:tc>
          <w:tcPr>
            <w:tcW w:type="dxa" w:w="2500"/>
            <w:tcMar>
              <w:top w:w="80" w:type="dxa"/>
              <w:start w:w="120" w:type="dxa"/>
              <w:bottom w:w="80" w:type="dxa"/>
              <w:end w:w="120" w:type="dxa"/>
            </w:tcMar>
            <w:vAlign w:val="center"/>
            <w:shd w:fill="FAFBFC"/>
          </w:tcPr>
          <w:p>
            <w:pPr>
              <w:spacing w:before="0" w:after="0" w:line="252" w:lineRule="auto"/>
              <w:jc w:val="left"/>
            </w:pPr>
            <w:r>
              <w:rPr>
                <w:rFonts w:ascii="Calibri" w:hAnsi="Calibri"/>
                <w:b w:val="0"/>
                <w:i w:val="0"/>
                <w:color w:val="1F2937"/>
                <w:sz w:val="19"/>
              </w:rPr>
              <w:t>Evaluation judge</w:t>
            </w:r>
          </w:p>
        </w:tc>
        <w:tc>
          <w:tcPr>
            <w:tcW w:type="dxa" w:w="6860"/>
            <w:tcMar>
              <w:top w:w="80" w:type="dxa"/>
              <w:start w:w="120" w:type="dxa"/>
              <w:bottom w:w="80" w:type="dxa"/>
              <w:end w:w="120" w:type="dxa"/>
            </w:tcMar>
            <w:vAlign w:val="center"/>
            <w:shd w:fill="FAFBFC"/>
          </w:tcPr>
          <w:p>
            <w:pPr>
              <w:spacing w:before="0" w:after="0" w:line="252" w:lineRule="auto"/>
              <w:jc w:val="left"/>
            </w:pPr>
            <w:r>
              <w:rPr>
                <w:rFonts w:ascii="Calibri" w:hAnsi="Calibri"/>
                <w:b w:val="0"/>
                <w:i w:val="0"/>
                <w:color w:val="1F2937"/>
                <w:sz w:val="19"/>
              </w:rPr>
              <w:t>Gemini 3.1 Pro; 600/600 blinded rows completed</w:t>
            </w:r>
          </w:p>
        </w:tc>
      </w:tr>
      <w:tr>
        <w:tc>
          <w:tcPr>
            <w:tcW w:type="dxa" w:w="250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Evaluation role</w:t>
            </w:r>
          </w:p>
        </w:tc>
        <w:tc>
          <w:tcPr>
            <w:tcW w:type="dxa" w:w="6860"/>
            <w:tcMar>
              <w:top w:w="80" w:type="dxa"/>
              <w:start w:w="120" w:type="dxa"/>
              <w:bottom w:w="80" w:type="dxa"/>
              <w:end w:w="120" w:type="dxa"/>
            </w:tcMar>
            <w:vAlign w:val="center"/>
          </w:tcPr>
          <w:p>
            <w:pPr>
              <w:spacing w:before="0" w:after="0" w:line="252" w:lineRule="auto"/>
              <w:jc w:val="left"/>
            </w:pPr>
            <w:r>
              <w:rPr>
                <w:rFonts w:ascii="Calibri" w:hAnsi="Calibri"/>
                <w:b w:val="0"/>
                <w:i w:val="0"/>
                <w:color w:val="1F2937"/>
                <w:sz w:val="19"/>
              </w:rPr>
              <w:t>Development screening; native final evaluation pending</w:t>
            </w:r>
          </w:p>
        </w:tc>
      </w:tr>
    </w:tbl>
    <w:p>
      <w:pPr>
        <w:spacing w:before="160" w:after="0"/>
      </w:pPr>
      <w:r>
        <w:rPr>
          <w:rFonts w:ascii="Calibri" w:hAnsi="Calibri"/>
          <w:b/>
          <w:i w:val="0"/>
          <w:color w:val="1F4D78"/>
          <w:sz w:val="21"/>
        </w:rPr>
        <w:t xml:space="preserve">Hugging Face adapter: </w:t>
      </w:r>
      <w:hyperlink r:id="rId12">
        <w:r>
          <w:rPr>
            <w:color w:val="2E74B5"/>
            <w:u w:val="single"/>
          </w:rPr>
          <w:t>kinyalm-gemma-4-12b-continuation-targeted-lr2e6</w:t>
        </w:r>
      </w:hyperlink>
    </w:p>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48B"/>
        <w:sz w:val="18"/>
      </w:rPr>
      <w:t xml:space="preserve">Page </w:t>
    </w:r>
    <w:fldSimple w:instr="PAGE">
      <w:r>
        <w:rPr>
          <w:color w:val="64748B"/>
          <w:sz w:val="18"/>
        </w:rPr>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4748B"/>
        <w:sz w:val="17"/>
      </w:rPr>
      <w:t>KinyaLM  |  Model Development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huggingface.co/kinyalm/kinyalm-gemma-4-12b-continuation-targeted-lr2e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KinyaLM Project Report</dc:title>
  <dc:subject>Performance of the 1,560 cumulative-step targeted Gemma 4 12B QLoRA adapter</dc:subject>
  <dc:creator>KinyaLM Team</dc:creator>
  <cp:keywords>KinyaLM, Kinyarwanda, Gemma, QLoRA, supervised fine-tuning, evaluation</cp:keywords>
  <dc:description>generated by python-docx</dc:description>
  <cp:lastModifiedBy/>
  <cp:revision>1</cp:revision>
  <dcterms:created xsi:type="dcterms:W3CDTF">2013-12-23T23:15:00Z</dcterms:created>
  <dcterms:modified xsi:type="dcterms:W3CDTF">2013-12-23T23:15:00Z</dcterms:modified>
  <cp:category/>
</cp:coreProperties>
</file>