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F57D" w14:textId="64DC8A9F" w:rsidR="001F63E5" w:rsidRPr="001F63E5" w:rsidRDefault="001F63E5" w:rsidP="001F63E5">
      <w:pPr>
        <w:jc w:val="center"/>
        <w:rPr>
          <w:rFonts w:ascii="Arial Black" w:hAnsi="Arial Black"/>
          <w:color w:val="FF0000"/>
          <w:sz w:val="96"/>
          <w:szCs w:val="96"/>
        </w:rPr>
      </w:pPr>
      <w:r w:rsidRPr="001F63E5">
        <w:rPr>
          <w:rFonts w:ascii="Arial Black" w:hAnsi="Arial Black"/>
          <w:color w:val="FF0000"/>
          <w:sz w:val="96"/>
          <w:szCs w:val="96"/>
        </w:rPr>
        <w:t>NEXT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1F63E5" w14:paraId="11DBD9F2" w14:textId="77777777" w:rsidTr="001F63E5">
        <w:tc>
          <w:tcPr>
            <w:tcW w:w="2398" w:type="dxa"/>
            <w:shd w:val="clear" w:color="auto" w:fill="000000" w:themeFill="text1"/>
          </w:tcPr>
          <w:p w14:paraId="12215B52" w14:textId="746E6CC9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1</w:t>
            </w:r>
          </w:p>
        </w:tc>
        <w:tc>
          <w:tcPr>
            <w:tcW w:w="2398" w:type="dxa"/>
            <w:shd w:val="clear" w:color="auto" w:fill="000000" w:themeFill="text1"/>
          </w:tcPr>
          <w:p w14:paraId="24B911E3" w14:textId="7BBEE69A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2</w:t>
            </w:r>
          </w:p>
        </w:tc>
        <w:tc>
          <w:tcPr>
            <w:tcW w:w="2398" w:type="dxa"/>
            <w:shd w:val="clear" w:color="auto" w:fill="000000" w:themeFill="text1"/>
          </w:tcPr>
          <w:p w14:paraId="6AEFF4AC" w14:textId="65A190EA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3</w:t>
            </w:r>
          </w:p>
        </w:tc>
        <w:tc>
          <w:tcPr>
            <w:tcW w:w="2398" w:type="dxa"/>
            <w:shd w:val="clear" w:color="auto" w:fill="000000" w:themeFill="text1"/>
          </w:tcPr>
          <w:p w14:paraId="128A6811" w14:textId="354D059C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4</w:t>
            </w:r>
          </w:p>
        </w:tc>
        <w:tc>
          <w:tcPr>
            <w:tcW w:w="2399" w:type="dxa"/>
            <w:shd w:val="clear" w:color="auto" w:fill="000000" w:themeFill="text1"/>
          </w:tcPr>
          <w:p w14:paraId="62C71822" w14:textId="66DCF7BA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5</w:t>
            </w:r>
          </w:p>
        </w:tc>
        <w:tc>
          <w:tcPr>
            <w:tcW w:w="2399" w:type="dxa"/>
            <w:shd w:val="clear" w:color="auto" w:fill="000000" w:themeFill="text1"/>
          </w:tcPr>
          <w:p w14:paraId="0AF5C6E4" w14:textId="46189467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6</w:t>
            </w:r>
          </w:p>
        </w:tc>
      </w:tr>
    </w:tbl>
    <w:p w14:paraId="35177E4D" w14:textId="02413B4D" w:rsidR="001F63E5" w:rsidRDefault="001F63E5" w:rsidP="001F63E5">
      <w:pPr>
        <w:rPr>
          <w:rFonts w:ascii="Arial Black" w:hAnsi="Arial Black"/>
          <w:sz w:val="96"/>
          <w:szCs w:val="96"/>
        </w:rPr>
      </w:pPr>
    </w:p>
    <w:p w14:paraId="4DA57B0E" w14:textId="1B8CA7BB" w:rsidR="001F63E5" w:rsidRPr="001F63E5" w:rsidRDefault="001F63E5" w:rsidP="001F63E5">
      <w:pPr>
        <w:jc w:val="center"/>
        <w:rPr>
          <w:rFonts w:ascii="Arial Black" w:hAnsi="Arial Black"/>
          <w:color w:val="FF0000"/>
          <w:sz w:val="96"/>
          <w:szCs w:val="96"/>
        </w:rPr>
      </w:pPr>
      <w:r w:rsidRPr="001F63E5">
        <w:rPr>
          <w:rFonts w:ascii="Arial Black" w:hAnsi="Arial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B741" wp14:editId="02B7954C">
                <wp:simplePos x="0" y="0"/>
                <wp:positionH relativeFrom="column">
                  <wp:posOffset>7924800</wp:posOffset>
                </wp:positionH>
                <wp:positionV relativeFrom="paragraph">
                  <wp:posOffset>214630</wp:posOffset>
                </wp:positionV>
                <wp:extent cx="978408" cy="484632"/>
                <wp:effectExtent l="0" t="19050" r="31750" b="2984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813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624pt;margin-top:16.9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" adj="16250" fillcolor="#4472c4 [3204]" strokecolor="#1f3763 [1604]" strokeweight="1pt"/>
            </w:pict>
          </mc:Fallback>
        </mc:AlternateContent>
      </w:r>
      <w:r w:rsidRPr="001F63E5">
        <w:rPr>
          <w:rFonts w:ascii="Arial Black" w:hAnsi="Arial Black"/>
          <w:color w:val="FF0000"/>
          <w:sz w:val="96"/>
          <w:szCs w:val="96"/>
        </w:rPr>
        <w:t xml:space="preserve">AROUND CORNER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4"/>
        <w:gridCol w:w="2874"/>
        <w:gridCol w:w="2884"/>
        <w:gridCol w:w="2884"/>
      </w:tblGrid>
      <w:tr w:rsidR="001F63E5" w14:paraId="694D5079" w14:textId="77777777" w:rsidTr="001F63E5">
        <w:tc>
          <w:tcPr>
            <w:tcW w:w="2878" w:type="dxa"/>
            <w:shd w:val="clear" w:color="auto" w:fill="000000" w:themeFill="text1"/>
          </w:tcPr>
          <w:p w14:paraId="38213E0F" w14:textId="7FBC2A8D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7</w:t>
            </w:r>
          </w:p>
        </w:tc>
        <w:tc>
          <w:tcPr>
            <w:tcW w:w="2878" w:type="dxa"/>
            <w:shd w:val="clear" w:color="auto" w:fill="000000" w:themeFill="text1"/>
          </w:tcPr>
          <w:p w14:paraId="6E5697A5" w14:textId="70B94E71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8</w:t>
            </w:r>
          </w:p>
        </w:tc>
        <w:tc>
          <w:tcPr>
            <w:tcW w:w="2878" w:type="dxa"/>
            <w:shd w:val="clear" w:color="auto" w:fill="000000" w:themeFill="text1"/>
          </w:tcPr>
          <w:p w14:paraId="0B0478C0" w14:textId="1003428F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9</w:t>
            </w:r>
          </w:p>
        </w:tc>
        <w:tc>
          <w:tcPr>
            <w:tcW w:w="2878" w:type="dxa"/>
            <w:shd w:val="clear" w:color="auto" w:fill="000000" w:themeFill="text1"/>
          </w:tcPr>
          <w:p w14:paraId="45990F21" w14:textId="4121E5B7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10</w:t>
            </w:r>
          </w:p>
        </w:tc>
        <w:tc>
          <w:tcPr>
            <w:tcW w:w="2878" w:type="dxa"/>
            <w:shd w:val="clear" w:color="auto" w:fill="000000" w:themeFill="text1"/>
          </w:tcPr>
          <w:p w14:paraId="1BE6335E" w14:textId="792B06AE" w:rsidR="001F63E5" w:rsidRPr="001F63E5" w:rsidRDefault="001F63E5" w:rsidP="001F63E5">
            <w:pPr>
              <w:jc w:val="center"/>
              <w:rPr>
                <w:rFonts w:ascii="Arial Black" w:hAnsi="Arial Black"/>
                <w:color w:val="70AD47" w:themeColor="accent6"/>
                <w:sz w:val="200"/>
                <w:szCs w:val="200"/>
              </w:rPr>
            </w:pPr>
            <w:r w:rsidRPr="001F63E5">
              <w:rPr>
                <w:rFonts w:ascii="Arial Black" w:hAnsi="Arial Black"/>
                <w:color w:val="70AD47" w:themeColor="accent6"/>
                <w:sz w:val="200"/>
                <w:szCs w:val="200"/>
              </w:rPr>
              <w:t>11</w:t>
            </w:r>
          </w:p>
        </w:tc>
      </w:tr>
    </w:tbl>
    <w:p w14:paraId="5C7C345F" w14:textId="41B51F09" w:rsidR="001F63E5" w:rsidRDefault="001F63E5" w:rsidP="001F63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OPERATION OF SIGN</w:t>
      </w:r>
    </w:p>
    <w:p w14:paraId="12769F88" w14:textId="25351D82" w:rsidR="001F63E5" w:rsidRDefault="001F63E5" w:rsidP="001F63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sign will be dark at the start. When a window cashier is open and ready for a customer, they will press a momentary call button next to the register. For example, window 3 is open and the push their call button. Then the “NEXT WINDOW” lights up and flashes along with the corresponding window number. This will be on a timer that will operate to an adjustable time between 5 to 30 seconds. At the end of the timer the sign will go back to dark until another call button is pushed.</w:t>
      </w:r>
    </w:p>
    <w:p w14:paraId="15AA8881" w14:textId="77777777" w:rsidR="001F63E5" w:rsidRDefault="001F63E5" w:rsidP="001F63E5">
      <w:pPr>
        <w:rPr>
          <w:rFonts w:ascii="Bookman Old Style" w:hAnsi="Bookman Old Style"/>
          <w:sz w:val="24"/>
          <w:szCs w:val="24"/>
        </w:rPr>
      </w:pPr>
    </w:p>
    <w:p w14:paraId="5C746972" w14:textId="10274756" w:rsidR="001F63E5" w:rsidRDefault="001F63E5" w:rsidP="001F63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more that one window has pushed their call button then each call button will have its corresponding light turned on and flashing until its times out. Each time a button is pushed the “NEXT WINDOW” timer will reset. </w:t>
      </w:r>
    </w:p>
    <w:p w14:paraId="4DE85F9F" w14:textId="66A92522" w:rsidR="001F63E5" w:rsidRDefault="001F63E5" w:rsidP="001F63E5">
      <w:pPr>
        <w:rPr>
          <w:rFonts w:ascii="Bookman Old Style" w:hAnsi="Bookman Old Style"/>
          <w:sz w:val="24"/>
          <w:szCs w:val="24"/>
        </w:rPr>
      </w:pPr>
    </w:p>
    <w:p w14:paraId="02028968" w14:textId="2ECCA57B" w:rsidR="001F63E5" w:rsidRDefault="001F63E5" w:rsidP="001F63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</w:t>
      </w:r>
    </w:p>
    <w:p w14:paraId="7BF52D88" w14:textId="07E0B00C" w:rsidR="001F63E5" w:rsidRDefault="001F63E5" w:rsidP="001F63E5">
      <w:pPr>
        <w:rPr>
          <w:rFonts w:ascii="Bookman Old Style" w:hAnsi="Bookman Old Style"/>
          <w:sz w:val="24"/>
          <w:szCs w:val="24"/>
        </w:rPr>
      </w:pPr>
    </w:p>
    <w:p w14:paraId="51CE76BA" w14:textId="23731B62" w:rsidR="001F63E5" w:rsidRDefault="001F63E5" w:rsidP="001F63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Window 2 pushes its button and the “NEXT WINDOW” light flashes along with the number 2. If the timer is set for 20 seconds and the number 2 light is set for 20 seconds both timers will begin to count down. If after 10 seconds window 6 presses its call button the timer for the “NEXT WINDOW” will reset for 20 seconds and the number 6 will also begin to flash. The same applies to all the call buttons. The “NEXT WINDOW” will continue to flash and reset as long as a call button is pushed but the number will only flash until the timer times out or the call button is pushed again for that corresponding window number.</w:t>
      </w:r>
    </w:p>
    <w:p w14:paraId="51C0784E" w14:textId="5FD43548" w:rsidR="001F63E5" w:rsidRDefault="001F63E5" w:rsidP="001F63E5">
      <w:pPr>
        <w:rPr>
          <w:rFonts w:ascii="Bookman Old Style" w:hAnsi="Bookman Old Style"/>
          <w:sz w:val="24"/>
          <w:szCs w:val="24"/>
        </w:rPr>
      </w:pPr>
    </w:p>
    <w:p w14:paraId="6B0CE90A" w14:textId="4D2A1C95" w:rsidR="001F63E5" w:rsidRPr="001F63E5" w:rsidRDefault="001F63E5" w:rsidP="001F63E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windows 7 thru 11 it will work in a similar fashion with the following exception. Both the “NEXT WINDOW and “AROUND CORNER” will flash when any of the 7 thru 11 windows press their call button.</w:t>
      </w:r>
    </w:p>
    <w:sectPr w:rsidR="001F63E5" w:rsidRPr="001F63E5" w:rsidSect="001F63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E5"/>
    <w:rsid w:val="00064637"/>
    <w:rsid w:val="0015703B"/>
    <w:rsid w:val="001A2494"/>
    <w:rsid w:val="001A644D"/>
    <w:rsid w:val="001F63E5"/>
    <w:rsid w:val="006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BC4"/>
  <w15:chartTrackingRefBased/>
  <w15:docId w15:val="{C73CF51D-9D17-4D8A-810B-389FC999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63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63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F63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Bryant</dc:creator>
  <cp:keywords/>
  <dc:description/>
  <cp:lastModifiedBy>Jonathan Bryant</cp:lastModifiedBy>
  <cp:revision>3</cp:revision>
  <cp:lastPrinted>2020-09-11T16:06:00Z</cp:lastPrinted>
  <dcterms:created xsi:type="dcterms:W3CDTF">2020-09-16T01:59:00Z</dcterms:created>
  <dcterms:modified xsi:type="dcterms:W3CDTF">2020-09-25T17:54:00Z</dcterms:modified>
</cp:coreProperties>
</file>