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color w:val="FF6F00"/>
          <w:sz w:val="28"/>
          <w:szCs w:val="28"/>
        </w:rPr>
        <w:t xml:space="preserve">━━━━━━━━━━━━━━━━━━━━━━━━━━━━━━━━━━━━━━━━━━━━━━━</w:t>
      </w:r>
    </w:p>
    <w:p>
      <w:pPr>
        <w:pStyle w:val="Title"/>
        <w:spacing w:before="300"/>
      </w:pPr>
      <w:r>
        <w:t xml:space="preserve">JLWANALYTICS</w:t>
      </w:r>
    </w:p>
    <w:p>
      <w:pPr>
        <w:jc w:val="center"/>
      </w:pPr>
      <w:r>
        <w:rPr>
          <w:b/>
          <w:bCs/>
          <w:color w:val="FF6F00"/>
          <w:sz w:val="32"/>
          <w:szCs w:val="32"/>
        </w:rPr>
        <w:t xml:space="preserve">THE DATA ANALYTICS IMPACT REPORT</w:t>
      </w:r>
    </w:p>
    <w:p>
      <w:pPr>
        <w:jc w:val="center"/>
      </w:pPr>
      <w:r>
        <w:rPr>
          <w:color w:val="444444"/>
          <w:sz w:val="26"/>
          <w:szCs w:val="26"/>
        </w:rPr>
        <w:t xml:space="preserve">How Data Intelligence Transforms Business Performance</w:t>
      </w:r>
    </w:p>
    <w:p>
      <w:pPr>
        <w:spacing w:before="200"/>
        <w:jc w:val="center"/>
      </w:pPr>
      <w:r>
        <w:rPr>
          <w:color w:val="FF6F00"/>
          <w:sz w:val="28"/>
          <w:szCs w:val="28"/>
        </w:rPr>
        <w:t xml:space="preserve">━━━━━━━━━━━━━━━━━━━━━━━━━━━━━━━━━━━━━━━━━━━━━━━</w:t>
      </w:r>
    </w:p>
    <w:p>
      <w:pPr>
        <w:spacing w:before="500"/>
        <w:jc w:val="center"/>
      </w:pPr>
      <w:r>
        <w:rPr>
          <w:b/>
          <w:bCs/>
          <w:color w:val="0D47A1"/>
          <w:sz w:val="28"/>
          <w:szCs w:val="28"/>
        </w:rPr>
        <w:t xml:space="preserve">TREND ANALYSIS &amp; ROI EVIDENCE</w:t>
      </w:r>
    </w:p>
    <w:p>
      <w:pPr>
        <w:jc w:val="center"/>
      </w:pPr>
      <w:r>
        <w:rPr>
          <w:color w:val="666666"/>
          <w:sz w:val="24"/>
          <w:szCs w:val="24"/>
        </w:rPr>
        <w:t xml:space="preserve">For Investors, Partners &amp; Enterprise Clients</w:t>
      </w:r>
    </w:p>
    <w:p>
      <w:pPr>
        <w:spacing w:before="600"/>
        <w:jc w:val="center"/>
      </w:pPr>
      <w:r>
        <w:rPr>
          <w:b/>
          <w:bCs/>
          <w:color w:val="00695C"/>
          <w:sz w:val="24"/>
          <w:szCs w:val="24"/>
        </w:rPr>
        <w:t xml:space="preserve">KEY HIGHLIGHTS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Pr>
          <w:p>
            <w:pPr>
              <w:jc w:val="center"/>
            </w:pPr>
            <w:r>
              <w:rPr>
                <w:b/>
                <w:bCs/>
                <w:color w:val="2E7D32"/>
                <w:sz w:val="56"/>
                <w:szCs w:val="56"/>
              </w:rPr>
              <w:t xml:space="preserve">23x</w:t>
            </w:r>
          </w:p>
          <w:p>
            <w:pPr>
              <w:jc w:val="center"/>
            </w:pPr>
            <w:r>
              <w:rPr>
                <w:color w:val="333333"/>
                <w:sz w:val="20"/>
                <w:szCs w:val="20"/>
              </w:rPr>
              <w:t xml:space="preserve">More Likely to Acquire Customers</w:t>
            </w:r>
          </w:p>
          <w:p>
            <w:pPr>
              <w:jc w:val="center"/>
            </w:pPr>
            <w:r>
              <w:rPr>
                <w:i/>
                <w:iCs/>
                <w:color w:val="666666"/>
                <w:sz w:val="16"/>
                <w:szCs w:val="16"/>
              </w:rPr>
              <w:t xml:space="preserve">McKinsey Global Institute</w:t>
            </w:r>
          </w:p>
        </w:tc>
        <w:tc>
          <w:tcPr>
            <w:tcW w:type="dxa" w:w="4680"/>
            <w:tcBorders>
              <w:top w:val="single" w:color="CCCCCC" w:sz="1"/>
              <w:left w:val="single" w:color="CCCCCC" w:sz="1"/>
              <w:bottom w:val="single" w:color="CCCCCC" w:sz="1"/>
              <w:right w:val="single" w:color="CCCCCC" w:sz="1"/>
            </w:tcBorders>
            <w:shd w:fill="E3F2FD" w:val="clear"/>
          </w:tcPr>
          <w:p>
            <w:pPr>
              <w:jc w:val="center"/>
            </w:pPr>
            <w:r>
              <w:rPr>
                <w:b/>
                <w:bCs/>
                <w:color w:val="0D47A1"/>
                <w:sz w:val="56"/>
                <w:szCs w:val="56"/>
              </w:rPr>
              <w:t xml:space="preserve">19x</w:t>
            </w:r>
          </w:p>
          <w:p>
            <w:pPr>
              <w:jc w:val="center"/>
            </w:pPr>
            <w:r>
              <w:rPr>
                <w:color w:val="333333"/>
                <w:sz w:val="20"/>
                <w:szCs w:val="20"/>
              </w:rPr>
              <w:t xml:space="preserve">More Likely to Be Profitable</w:t>
            </w:r>
          </w:p>
          <w:p>
            <w:pPr>
              <w:jc w:val="center"/>
            </w:pPr>
            <w:r>
              <w:rPr>
                <w:i/>
                <w:iCs/>
                <w:color w:val="666666"/>
                <w:sz w:val="16"/>
                <w:szCs w:val="16"/>
              </w:rPr>
              <w:t xml:space="preserve">McKinsey Global Institute</w:t>
            </w:r>
          </w:p>
        </w:tc>
      </w:tr>
      <w:tr>
        <w:tc>
          <w:tcPr>
            <w:tcW w:type="dxa" w:w="4680"/>
            <w:tcBorders>
              <w:top w:val="single" w:color="CCCCCC" w:sz="1"/>
              <w:left w:val="single" w:color="CCCCCC" w:sz="1"/>
              <w:bottom w:val="single" w:color="CCCCCC" w:sz="1"/>
              <w:right w:val="single" w:color="CCCCCC" w:sz="1"/>
            </w:tcBorders>
            <w:shd w:fill="FFF3E0" w:val="clear"/>
          </w:tcPr>
          <w:p>
            <w:pPr>
              <w:jc w:val="center"/>
            </w:pPr>
            <w:r>
              <w:rPr>
                <w:b/>
                <w:bCs/>
                <w:color w:val="FF6F00"/>
                <w:sz w:val="56"/>
                <w:szCs w:val="56"/>
              </w:rPr>
              <w:t xml:space="preserve">127%</w:t>
            </w:r>
          </w:p>
          <w:p>
            <w:pPr>
              <w:jc w:val="center"/>
            </w:pPr>
            <w:r>
              <w:rPr>
                <w:color w:val="333333"/>
                <w:sz w:val="20"/>
                <w:szCs w:val="20"/>
              </w:rPr>
              <w:t xml:space="preserve">ROI Within 3 Years</w:t>
            </w:r>
          </w:p>
          <w:p>
            <w:pPr>
              <w:jc w:val="center"/>
            </w:pPr>
            <w:r>
              <w:rPr>
                <w:i/>
                <w:iCs/>
                <w:color w:val="666666"/>
                <w:sz w:val="16"/>
                <w:szCs w:val="16"/>
              </w:rPr>
              <w:t xml:space="preserve">Business Intelligence Implementations</w:t>
            </w:r>
          </w:p>
        </w:tc>
        <w:tc>
          <w:tcPr>
            <w:tcW w:type="dxa" w:w="4680"/>
            <w:tcBorders>
              <w:top w:val="single" w:color="CCCCCC" w:sz="1"/>
              <w:left w:val="single" w:color="CCCCCC" w:sz="1"/>
              <w:bottom w:val="single" w:color="CCCCCC" w:sz="1"/>
              <w:right w:val="single" w:color="CCCCCC" w:sz="1"/>
            </w:tcBorders>
            <w:shd w:fill="F3E5F5" w:val="clear"/>
          </w:tcPr>
          <w:p>
            <w:pPr>
              <w:jc w:val="center"/>
            </w:pPr>
            <w:r>
              <w:rPr>
                <w:b/>
                <w:bCs/>
                <w:color w:val="7B1FA2"/>
                <w:sz w:val="56"/>
                <w:szCs w:val="56"/>
              </w:rPr>
              <w:t xml:space="preserve">295%</w:t>
            </w:r>
          </w:p>
          <w:p>
            <w:pPr>
              <w:jc w:val="center"/>
            </w:pPr>
            <w:r>
              <w:rPr>
                <w:color w:val="333333"/>
                <w:sz w:val="20"/>
                <w:szCs w:val="20"/>
              </w:rPr>
              <w:t xml:space="preserve">Average ROI Over 3 Years</w:t>
            </w:r>
          </w:p>
          <w:p>
            <w:pPr>
              <w:jc w:val="center"/>
            </w:pPr>
            <w:r>
              <w:rPr>
                <w:i/>
                <w:iCs/>
                <w:color w:val="666666"/>
                <w:sz w:val="16"/>
                <w:szCs w:val="16"/>
              </w:rPr>
              <w:t xml:space="preserve">Azure Integration Services Study</w:t>
            </w:r>
          </w:p>
        </w:tc>
      </w:tr>
    </w:tbl>
    <w:p>
      <w:pPr>
        <w:spacing w:before="400"/>
        <w:jc w:val="center"/>
      </w:pPr>
      <w:r>
        <w:rPr>
          <w:color w:val="888888"/>
          <w:sz w:val="20"/>
          <w:szCs w:val="20"/>
        </w:rPr>
        <w:t xml:space="preserve">Prepared by JLWanalytics | December 2025</w:t>
      </w:r>
    </w:p>
    <w:p>
      <w:r>
        <w:br w:type="page"/>
      </w:r>
    </w:p>
    <w:p>
      <w:pPr>
        <w:pStyle w:val="Heading1"/>
      </w:pPr>
      <w:r>
        <w:t xml:space="preserve">1. Global Data Analytics Market Opportunity</w:t>
      </w:r>
    </w:p>
    <w:p>
      <w:pPr>
        <w:spacing w:before="200"/>
      </w:pPr>
      <w:r>
        <w:t xml:space="preserve">The data analytics market represents one of the most compelling investment opportunities of the decade. Organizations worldwide are recognizing that data-driven decision-making is no longer optional—it's essential for survival and growth.</w:t>
      </w:r>
    </w:p>
    <w:p>
      <w:pPr>
        <w:pStyle w:val="Heading2"/>
      </w:pPr>
      <w:r>
        <w:t xml:space="preserve">1.1 Market Size &amp; Growth Trajectory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Market Segment</w:t>
            </w:r>
          </w:p>
        </w:tc>
        <w:tc>
          <w:tcPr>
            <w:tcW w:type="dxa" w:w="234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2024 Value</w:t>
            </w:r>
          </w:p>
        </w:tc>
        <w:tc>
          <w:tcPr>
            <w:tcW w:type="dxa" w:w="234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2034 Projection</w:t>
            </w:r>
          </w:p>
        </w:tc>
        <w:tc>
          <w:tcPr>
            <w:tcW w:type="dxa" w:w="156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CAGR</w:t>
            </w:r>
          </w:p>
        </w:tc>
      </w:tr>
      <w:tr>
        <w:tc>
          <w:tcPr>
            <w:tcW w:type="dxa" w:w="3120"/>
            <w:tcBorders>
              <w:top w:val="single" w:color="CCCCCC" w:sz="1"/>
              <w:left w:val="single" w:color="CCCCCC" w:sz="1"/>
              <w:bottom w:val="single" w:color="CCCCCC" w:sz="1"/>
              <w:right w:val="single" w:color="CCCCCC" w:sz="1"/>
            </w:tcBorders>
          </w:tcPr>
          <w:p>
            <w:r>
              <w:rPr>
                <w:b/>
                <w:bCs/>
              </w:rPr>
              <w:t xml:space="preserve">Global Data Analytics</w:t>
            </w:r>
          </w:p>
        </w:tc>
        <w:tc>
          <w:tcPr>
            <w:tcW w:type="dxa" w:w="2340"/>
            <w:tcBorders>
              <w:top w:val="single" w:color="CCCCCC" w:sz="1"/>
              <w:left w:val="single" w:color="CCCCCC" w:sz="1"/>
              <w:bottom w:val="single" w:color="CCCCCC" w:sz="1"/>
              <w:right w:val="single" w:color="CCCCCC" w:sz="1"/>
            </w:tcBorders>
          </w:tcPr>
          <w:p>
            <w:pPr>
              <w:jc w:val="center"/>
            </w:pPr>
            <w:r>
              <w:t xml:space="preserve">$50.04 Billion</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$658.64 Billion</w:t>
            </w:r>
          </w:p>
        </w:tc>
        <w:tc>
          <w:tcPr>
            <w:tcW w:type="dxa" w:w="1560"/>
            <w:tcBorders>
              <w:top w:val="single" w:color="CCCCCC" w:sz="1"/>
              <w:left w:val="single" w:color="CCCCCC" w:sz="1"/>
              <w:bottom w:val="single" w:color="CCCCCC" w:sz="1"/>
              <w:right w:val="single" w:color="CCCCCC" w:sz="1"/>
            </w:tcBorders>
          </w:tcPr>
          <w:p>
            <w:pPr>
              <w:jc w:val="center"/>
            </w:pPr>
            <w:r>
              <w:rPr>
                <w:b/>
                <w:bCs/>
                <w:color w:val="2E7D32"/>
              </w:rPr>
              <w:t xml:space="preserve">29.4%</w:t>
            </w:r>
          </w:p>
        </w:tc>
      </w:tr>
      <w:tr>
        <w:tc>
          <w:tcPr>
            <w:tcW w:type="dxa" w:w="3120"/>
            <w:tcBorders>
              <w:top w:val="single" w:color="CCCCCC" w:sz="1"/>
              <w:left w:val="single" w:color="CCCCCC" w:sz="1"/>
              <w:bottom w:val="single" w:color="CCCCCC" w:sz="1"/>
              <w:right w:val="single" w:color="CCCCCC" w:sz="1"/>
            </w:tcBorders>
          </w:tcPr>
          <w:p>
            <w:r>
              <w:rPr>
                <w:b/>
                <w:bCs/>
              </w:rPr>
              <w:t xml:space="preserve">Predictive Analytics</w:t>
            </w:r>
          </w:p>
        </w:tc>
        <w:tc>
          <w:tcPr>
            <w:tcW w:type="dxa" w:w="2340"/>
            <w:tcBorders>
              <w:top w:val="single" w:color="CCCCCC" w:sz="1"/>
              <w:left w:val="single" w:color="CCCCCC" w:sz="1"/>
              <w:bottom w:val="single" w:color="CCCCCC" w:sz="1"/>
              <w:right w:val="single" w:color="CCCCCC" w:sz="1"/>
            </w:tcBorders>
          </w:tcPr>
          <w:p>
            <w:pPr>
              <w:jc w:val="center"/>
            </w:pPr>
            <w:r>
              <w:t xml:space="preserve">$18.02 Billion</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$91.92 Billion</w:t>
            </w:r>
          </w:p>
        </w:tc>
        <w:tc>
          <w:tcPr>
            <w:tcW w:type="dxa" w:w="1560"/>
            <w:tcBorders>
              <w:top w:val="single" w:color="CCCCCC" w:sz="1"/>
              <w:left w:val="single" w:color="CCCCCC" w:sz="1"/>
              <w:bottom w:val="single" w:color="CCCCCC" w:sz="1"/>
              <w:right w:val="single" w:color="CCCCCC" w:sz="1"/>
            </w:tcBorders>
          </w:tcPr>
          <w:p>
            <w:pPr>
              <w:jc w:val="center"/>
            </w:pPr>
            <w:r>
              <w:rPr>
                <w:b/>
                <w:bCs/>
                <w:color w:val="2E7D32"/>
              </w:rPr>
              <w:t xml:space="preserve">22.5%</w:t>
            </w:r>
          </w:p>
        </w:tc>
      </w:tr>
      <w:tr>
        <w:tc>
          <w:tcPr>
            <w:tcW w:type="dxa" w:w="3120"/>
            <w:tcBorders>
              <w:top w:val="single" w:color="CCCCCC" w:sz="1"/>
              <w:left w:val="single" w:color="CCCCCC" w:sz="1"/>
              <w:bottom w:val="single" w:color="CCCCCC" w:sz="1"/>
              <w:right w:val="single" w:color="CCCCCC" w:sz="1"/>
            </w:tcBorders>
          </w:tcPr>
          <w:p>
            <w:r>
              <w:rPr>
                <w:b/>
                <w:bCs/>
              </w:rPr>
              <w:t xml:space="preserve">Big Data Market</w:t>
            </w:r>
          </w:p>
        </w:tc>
        <w:tc>
          <w:tcPr>
            <w:tcW w:type="dxa" w:w="2340"/>
            <w:tcBorders>
              <w:top w:val="single" w:color="CCCCCC" w:sz="1"/>
              <w:left w:val="single" w:color="CCCCCC" w:sz="1"/>
              <w:bottom w:val="single" w:color="CCCCCC" w:sz="1"/>
              <w:right w:val="single" w:color="CCCCCC" w:sz="1"/>
            </w:tcBorders>
          </w:tcPr>
          <w:p>
            <w:pPr>
              <w:jc w:val="center"/>
            </w:pPr>
            <w:r>
              <w:t xml:space="preserve">$67.23 Billion</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$103 Billion (2027)</w:t>
            </w:r>
          </w:p>
        </w:tc>
        <w:tc>
          <w:tcPr>
            <w:tcW w:type="dxa" w:w="1560"/>
            <w:tcBorders>
              <w:top w:val="single" w:color="CCCCCC" w:sz="1"/>
              <w:left w:val="single" w:color="CCCCCC" w:sz="1"/>
              <w:bottom w:val="single" w:color="CCCCCC" w:sz="1"/>
              <w:right w:val="single" w:color="CCCCCC" w:sz="1"/>
            </w:tcBorders>
          </w:tcPr>
          <w:p>
            <w:pPr>
              <w:jc w:val="center"/>
            </w:pPr>
            <w:r>
              <w:rPr>
                <w:b/>
                <w:bCs/>
                <w:color w:val="2E7D32"/>
              </w:rPr>
              <w:t xml:space="preserve">15.3%</w:t>
            </w:r>
          </w:p>
        </w:tc>
      </w:tr>
      <w:tr>
        <w:tc>
          <w:tcPr>
            <w:tcW w:type="dxa" w:w="3120"/>
            <w:tcBorders>
              <w:top w:val="single" w:color="CCCCCC" w:sz="1"/>
              <w:left w:val="single" w:color="CCCCCC" w:sz="1"/>
              <w:bottom w:val="single" w:color="CCCCCC" w:sz="1"/>
              <w:right w:val="single" w:color="CCCCCC" w:sz="1"/>
            </w:tcBorders>
          </w:tcPr>
          <w:p>
            <w:r>
              <w:rPr>
                <w:b/>
                <w:bCs/>
              </w:rPr>
              <w:t xml:space="preserve">Africa BI Market</w:t>
            </w:r>
          </w:p>
        </w:tc>
        <w:tc>
          <w:tcPr>
            <w:tcW w:type="dxa" w:w="2340"/>
            <w:tcBorders>
              <w:top w:val="single" w:color="CCCCCC" w:sz="1"/>
              <w:left w:val="single" w:color="CCCCCC" w:sz="1"/>
              <w:bottom w:val="single" w:color="CCCCCC" w:sz="1"/>
              <w:right w:val="single" w:color="CCCCCC" w:sz="1"/>
            </w:tcBorders>
          </w:tcPr>
          <w:p>
            <w:pPr>
              <w:jc w:val="center"/>
            </w:pPr>
            <w:r>
              <w:t xml:space="preserve">$340 Million</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$500 Million (2029)</w:t>
            </w:r>
          </w:p>
        </w:tc>
        <w:tc>
          <w:tcPr>
            <w:tcW w:type="dxa" w:w="1560"/>
            <w:tcBorders>
              <w:top w:val="single" w:color="CCCCCC" w:sz="1"/>
              <w:left w:val="single" w:color="CCCCCC" w:sz="1"/>
              <w:bottom w:val="single" w:color="CCCCCC" w:sz="1"/>
              <w:right w:val="single" w:color="CCCCCC" w:sz="1"/>
            </w:tcBorders>
          </w:tcPr>
          <w:p>
            <w:pPr>
              <w:jc w:val="center"/>
            </w:pPr>
            <w:r>
              <w:rPr>
                <w:b/>
                <w:bCs/>
                <w:color w:val="2E7D32"/>
              </w:rPr>
              <w:t xml:space="preserve">8.02%</w:t>
            </w:r>
          </w:p>
        </w:tc>
      </w:tr>
      <w:tr>
        <w:tc>
          <w:tcPr>
            <w:tcW w:type="dxa" w:w="3120"/>
            <w:tcBorders>
              <w:top w:val="single" w:color="CCCCCC" w:sz="1"/>
              <w:left w:val="single" w:color="CCCCCC" w:sz="1"/>
              <w:bottom w:val="single" w:color="CCCCCC" w:sz="1"/>
              <w:right w:val="single" w:color="CCCCCC" w:sz="1"/>
            </w:tcBorders>
          </w:tcPr>
          <w:p>
            <w:r>
              <w:rPr>
                <w:b/>
                <w:bCs/>
              </w:rPr>
              <w:t xml:space="preserve">Healthcare Analytics</w:t>
            </w:r>
          </w:p>
        </w:tc>
        <w:tc>
          <w:tcPr>
            <w:tcW w:type="dxa" w:w="2340"/>
            <w:tcBorders>
              <w:top w:val="single" w:color="CCCCCC" w:sz="1"/>
              <w:left w:val="single" w:color="CCCCCC" w:sz="1"/>
              <w:bottom w:val="single" w:color="CCCCCC" w:sz="1"/>
              <w:right w:val="single" w:color="CCCCCC" w:sz="1"/>
            </w:tcBorders>
          </w:tcPr>
          <w:p>
            <w:pPr>
              <w:jc w:val="center"/>
            </w:pPr>
            <w:r>
              <w:t xml:space="preserve">$56 Billion</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$167 Billion (2030)</w:t>
            </w:r>
          </w:p>
        </w:tc>
        <w:tc>
          <w:tcPr>
            <w:tcW w:type="dxa" w:w="1560"/>
            <w:tcBorders>
              <w:top w:val="single" w:color="CCCCCC" w:sz="1"/>
              <w:left w:val="single" w:color="CCCCCC" w:sz="1"/>
              <w:bottom w:val="single" w:color="CCCCCC" w:sz="1"/>
              <w:right w:val="single" w:color="CCCCCC" w:sz="1"/>
            </w:tcBorders>
          </w:tcPr>
          <w:p>
            <w:pPr>
              <w:jc w:val="center"/>
            </w:pPr>
            <w:r>
              <w:rPr>
                <w:b/>
                <w:bCs/>
                <w:color w:val="2E7D32"/>
              </w:rPr>
              <w:t xml:space="preserve">21.1%</w:t>
            </w:r>
          </w:p>
        </w:tc>
      </w:tr>
    </w:tbl>
    <w:p>
      <w:pPr>
        <w:spacing w:before="200"/>
      </w:pPr>
      <w:r>
        <w:rPr>
          <w:i/>
          <w:iCs/>
          <w:color w:val="666666"/>
        </w:rPr>
        <w:t xml:space="preserve">Source: </w:t>
      </w:r>
      <w:r>
        <w:rPr>
          <w:i/>
          <w:iCs/>
          <w:color w:val="666666"/>
        </w:rPr>
        <w:t xml:space="preserve">Fortune Business Insights, Gartner, McKinsey, BARC Research 2024-2025</w:t>
      </w:r>
    </w:p>
    <w:p>
      <w:pPr>
        <w:pStyle w:val="Heading2"/>
      </w:pPr>
      <w:r>
        <w:t xml:space="preserve">1.2 Adoption Statistics</w:t>
      </w:r>
    </w:p>
    <w:p>
      <w:pPr>
        <w:pStyle w:val="ListParagraph"/>
        <w:numPr>
          <w:ilvl w:val="0"/>
          <w:numId w:val="2"/>
        </w:numPr>
        <w:spacing w:before="100"/>
      </w:pPr>
      <w:r>
        <w:rPr>
          <w:b/>
          <w:bCs/>
          <w:color w:val="0D47A1"/>
        </w:rPr>
        <w:t xml:space="preserve">97.2%</w:t>
      </w:r>
      <w:r>
        <w:t xml:space="preserve"> of organizations now allocate budget resources to big data initiatives</w:t>
      </w:r>
    </w:p>
    <w:p>
      <w:pPr>
        <w:pStyle w:val="ListParagraph"/>
        <w:numPr>
          <w:ilvl w:val="0"/>
          <w:numId w:val="2"/>
        </w:numPr>
      </w:pPr>
      <w:r>
        <w:rPr>
          <w:b/>
          <w:bCs/>
          <w:color w:val="0D47A1"/>
        </w:rPr>
        <w:t xml:space="preserve">80%</w:t>
      </w:r>
      <w:r>
        <w:t xml:space="preserve"> of companies have integrated big data analytics into their operations</w:t>
      </w:r>
    </w:p>
    <w:p>
      <w:pPr>
        <w:pStyle w:val="ListParagraph"/>
        <w:numPr>
          <w:ilvl w:val="0"/>
          <w:numId w:val="2"/>
        </w:numPr>
      </w:pPr>
      <w:r>
        <w:rPr>
          <w:b/>
          <w:bCs/>
          <w:color w:val="0D47A1"/>
        </w:rPr>
        <w:t xml:space="preserve">78%</w:t>
      </w:r>
      <w:r>
        <w:t xml:space="preserve"> of organizations now use AI in at least one business function (up from 55% in 2023)</w:t>
      </w:r>
    </w:p>
    <w:p>
      <w:pPr>
        <w:pStyle w:val="ListParagraph"/>
        <w:numPr>
          <w:ilvl w:val="0"/>
          <w:numId w:val="2"/>
        </w:numPr>
      </w:pPr>
      <w:r>
        <w:rPr>
          <w:b/>
          <w:bCs/>
          <w:color w:val="0D47A1"/>
        </w:rPr>
        <w:t xml:space="preserve">65%</w:t>
      </w:r>
      <w:r>
        <w:t xml:space="preserve"> of businesses will transition from intuition-based to data-driven decision-making by 2026</w:t>
      </w:r>
    </w:p>
    <w:p>
      <w:pPr>
        <w:pStyle w:val="ListParagraph"/>
        <w:numPr>
          <w:ilvl w:val="0"/>
          <w:numId w:val="2"/>
        </w:numPr>
      </w:pPr>
      <w:r>
        <w:rPr>
          <w:b/>
          <w:bCs/>
          <w:color w:val="0D47A1"/>
        </w:rPr>
        <w:t xml:space="preserve">87.9%</w:t>
      </w:r>
      <w:r>
        <w:t xml:space="preserve"> of executives rank investments in data and analytics as a top organizational priority</w:t>
      </w:r>
    </w:p>
    <w:p>
      <w:r>
        <w:br w:type="page"/>
      </w:r>
    </w:p>
    <w:p>
      <w:pPr>
        <w:pStyle w:val="Heading1"/>
      </w:pPr>
      <w:r>
        <w:t xml:space="preserve">2. Proven ROI &amp; Business Impact</w:t>
      </w:r>
    </w:p>
    <w:p>
      <w:pPr>
        <w:spacing w:before="200"/>
      </w:pPr>
      <w:r>
        <w:t xml:space="preserve">The evidence is overwhelming: organizations that embrace data analytics significantly outperform their competitors across every key business metric.</w:t>
      </w:r>
    </w:p>
    <w:p>
      <w:pPr>
        <w:pStyle w:val="Heading2"/>
      </w:pPr>
      <w:r>
        <w:t xml:space="preserve">2.1 Return on Investment Evidence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0D47A1" w:sz="2"/>
              <w:left w:val="single" w:color="0D47A1" w:sz="2"/>
              <w:bottom w:val="single" w:color="0D47A1" w:sz="2"/>
              <w:right w:val="single" w:color="0D47A1" w:sz="2"/>
            </w:tcBorders>
            <w:shd w:fill="2E7D32" w:val="clear"/>
          </w:tcPr>
          <w:p>
            <w:pPr>
              <w:jc w:val="center"/>
            </w:pPr>
            <w:r>
              <w:rPr>
                <w:b/>
                <w:bCs/>
                <w:color w:val="FFFFFF"/>
              </w:rPr>
              <w:t xml:space="preserve">Analytics Initiative</w:t>
            </w:r>
          </w:p>
        </w:tc>
        <w:tc>
          <w:tcPr>
            <w:tcW w:type="dxa" w:w="2340"/>
            <w:tcBorders>
              <w:top w:val="single" w:color="0D47A1" w:sz="2"/>
              <w:left w:val="single" w:color="0D47A1" w:sz="2"/>
              <w:bottom w:val="single" w:color="0D47A1" w:sz="2"/>
              <w:right w:val="single" w:color="0D47A1" w:sz="2"/>
            </w:tcBorders>
            <w:shd w:fill="2E7D32" w:val="clear"/>
          </w:tcPr>
          <w:p>
            <w:pPr>
              <w:jc w:val="center"/>
            </w:pPr>
            <w:r>
              <w:rPr>
                <w:b/>
                <w:bCs/>
                <w:color w:val="FFFFFF"/>
              </w:rPr>
              <w:t xml:space="preserve">Average ROI</w:t>
            </w:r>
          </w:p>
        </w:tc>
        <w:tc>
          <w:tcPr>
            <w:tcW w:type="dxa" w:w="2340"/>
            <w:tcBorders>
              <w:top w:val="single" w:color="0D47A1" w:sz="2"/>
              <w:left w:val="single" w:color="0D47A1" w:sz="2"/>
              <w:bottom w:val="single" w:color="0D47A1" w:sz="2"/>
              <w:right w:val="single" w:color="0D47A1" w:sz="2"/>
            </w:tcBorders>
            <w:shd w:fill="2E7D32" w:val="clear"/>
          </w:tcPr>
          <w:p>
            <w:pPr>
              <w:jc w:val="center"/>
            </w:pPr>
            <w:r>
              <w:rPr>
                <w:b/>
                <w:bCs/>
                <w:color w:val="FFFFFF"/>
              </w:rPr>
              <w:t xml:space="preserve">Timeframe</w:t>
            </w:r>
          </w:p>
        </w:tc>
      </w:tr>
      <w:tr>
        <w:tc>
          <w:tcPr>
            <w:tcW w:type="dxa" w:w="4680"/>
            <w:tcBorders>
              <w:top w:val="single" w:color="CCCCCC" w:sz="1"/>
              <w:left w:val="single" w:color="CCCCCC" w:sz="1"/>
              <w:bottom w:val="single" w:color="CCCCCC" w:sz="1"/>
              <w:right w:val="single" w:color="CCCCCC" w:sz="1"/>
            </w:tcBorders>
          </w:tcPr>
          <w:p>
            <w:r>
              <w:t xml:space="preserve">Business Intelligence Implementation</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sz w:val="26"/>
                <w:szCs w:val="26"/>
              </w:rPr>
              <w:t xml:space="preserve">127%</w:t>
            </w:r>
          </w:p>
        </w:tc>
        <w:tc>
          <w:tcPr>
            <w:tcW w:type="dxa" w:w="2340"/>
            <w:tcBorders>
              <w:top w:val="single" w:color="CCCCCC" w:sz="1"/>
              <w:left w:val="single" w:color="CCCCCC" w:sz="1"/>
              <w:bottom w:val="single" w:color="CCCCCC" w:sz="1"/>
              <w:right w:val="single" w:color="CCCCCC" w:sz="1"/>
            </w:tcBorders>
          </w:tcPr>
          <w:p>
            <w:pPr>
              <w:jc w:val="center"/>
            </w:pPr>
            <w:r>
              <w:t xml:space="preserve">3 Years</w:t>
            </w:r>
          </w:p>
        </w:tc>
      </w:tr>
      <w:tr>
        <w:tc>
          <w:tcPr>
            <w:tcW w:type="dxa" w:w="4680"/>
            <w:tcBorders>
              <w:top w:val="single" w:color="CCCCCC" w:sz="1"/>
              <w:left w:val="single" w:color="CCCCCC" w:sz="1"/>
              <w:bottom w:val="single" w:color="CCCCCC" w:sz="1"/>
              <w:right w:val="single" w:color="CCCCCC" w:sz="1"/>
            </w:tcBorders>
          </w:tcPr>
          <w:p>
            <w:r>
              <w:t xml:space="preserve">Data Integration Platforms (Average)</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sz w:val="26"/>
                <w:szCs w:val="26"/>
              </w:rPr>
              <w:t xml:space="preserve">295%</w:t>
            </w:r>
          </w:p>
        </w:tc>
        <w:tc>
          <w:tcPr>
            <w:tcW w:type="dxa" w:w="2340"/>
            <w:tcBorders>
              <w:top w:val="single" w:color="CCCCCC" w:sz="1"/>
              <w:left w:val="single" w:color="CCCCCC" w:sz="1"/>
              <w:bottom w:val="single" w:color="CCCCCC" w:sz="1"/>
              <w:right w:val="single" w:color="CCCCCC" w:sz="1"/>
            </w:tcBorders>
          </w:tcPr>
          <w:p>
            <w:pPr>
              <w:jc w:val="center"/>
            </w:pPr>
            <w:r>
              <w:t xml:space="preserve">3 Years</w:t>
            </w:r>
          </w:p>
        </w:tc>
      </w:tr>
      <w:tr>
        <w:tc>
          <w:tcPr>
            <w:tcW w:type="dxa" w:w="4680"/>
            <w:tcBorders>
              <w:top w:val="single" w:color="CCCCCC" w:sz="1"/>
              <w:left w:val="single" w:color="CCCCCC" w:sz="1"/>
              <w:bottom w:val="single" w:color="CCCCCC" w:sz="1"/>
              <w:right w:val="single" w:color="CCCCCC" w:sz="1"/>
            </w:tcBorders>
          </w:tcPr>
          <w:p>
            <w:r>
              <w:t xml:space="preserve">Top Performers (Data Integration)</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sz w:val="26"/>
                <w:szCs w:val="26"/>
              </w:rPr>
              <w:t xml:space="preserve">354%</w:t>
            </w:r>
          </w:p>
        </w:tc>
        <w:tc>
          <w:tcPr>
            <w:tcW w:type="dxa" w:w="2340"/>
            <w:tcBorders>
              <w:top w:val="single" w:color="CCCCCC" w:sz="1"/>
              <w:left w:val="single" w:color="CCCCCC" w:sz="1"/>
              <w:bottom w:val="single" w:color="CCCCCC" w:sz="1"/>
              <w:right w:val="single" w:color="CCCCCC" w:sz="1"/>
            </w:tcBorders>
          </w:tcPr>
          <w:p>
            <w:pPr>
              <w:jc w:val="center"/>
            </w:pPr>
            <w:r>
              <w:t xml:space="preserve">3 Years</w:t>
            </w:r>
          </w:p>
        </w:tc>
      </w:tr>
      <w:tr>
        <w:tc>
          <w:tcPr>
            <w:tcW w:type="dxa" w:w="4680"/>
            <w:tcBorders>
              <w:top w:val="single" w:color="CCCCCC" w:sz="1"/>
              <w:left w:val="single" w:color="CCCCCC" w:sz="1"/>
              <w:bottom w:val="single" w:color="CCCCCC" w:sz="1"/>
              <w:right w:val="single" w:color="CCCCCC" w:sz="1"/>
            </w:tcBorders>
          </w:tcPr>
          <w:p>
            <w:r>
              <w:t xml:space="preserve">Customer Experience Analytics</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sz w:val="26"/>
                <w:szCs w:val="26"/>
              </w:rPr>
              <w:t xml:space="preserve">633%</w:t>
            </w:r>
          </w:p>
        </w:tc>
        <w:tc>
          <w:tcPr>
            <w:tcW w:type="dxa" w:w="2340"/>
            <w:tcBorders>
              <w:top w:val="single" w:color="CCCCCC" w:sz="1"/>
              <w:left w:val="single" w:color="CCCCCC" w:sz="1"/>
              <w:bottom w:val="single" w:color="CCCCCC" w:sz="1"/>
              <w:right w:val="single" w:color="CCCCCC" w:sz="1"/>
            </w:tcBorders>
          </w:tcPr>
          <w:p>
            <w:pPr>
              <w:jc w:val="center"/>
            </w:pPr>
            <w:r>
              <w:t xml:space="preserve">3 Years</w:t>
            </w:r>
          </w:p>
        </w:tc>
      </w:tr>
      <w:tr>
        <w:tc>
          <w:tcPr>
            <w:tcW w:type="dxa" w:w="4680"/>
            <w:tcBorders>
              <w:top w:val="single" w:color="CCCCCC" w:sz="1"/>
              <w:left w:val="single" w:color="CCCCCC" w:sz="1"/>
              <w:bottom w:val="single" w:color="CCCCCC" w:sz="1"/>
              <w:right w:val="single" w:color="CCCCCC" w:sz="1"/>
            </w:tcBorders>
          </w:tcPr>
          <w:p>
            <w:r>
              <w:t xml:space="preserve">Customer Churn Prediction</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sz w:val="26"/>
                <w:szCs w:val="26"/>
              </w:rPr>
              <w:t xml:space="preserve">775%</w:t>
            </w:r>
          </w:p>
        </w:tc>
        <w:tc>
          <w:tcPr>
            <w:tcW w:type="dxa" w:w="2340"/>
            <w:tcBorders>
              <w:top w:val="single" w:color="CCCCCC" w:sz="1"/>
              <w:left w:val="single" w:color="CCCCCC" w:sz="1"/>
              <w:bottom w:val="single" w:color="CCCCCC" w:sz="1"/>
              <w:right w:val="single" w:color="CCCCCC" w:sz="1"/>
            </w:tcBorders>
          </w:tcPr>
          <w:p>
            <w:pPr>
              <w:jc w:val="center"/>
            </w:pPr>
            <w:r>
              <w:t xml:space="preserve">First Year</w:t>
            </w:r>
          </w:p>
        </w:tc>
      </w:tr>
      <w:tr>
        <w:tc>
          <w:tcPr>
            <w:tcW w:type="dxa" w:w="4680"/>
            <w:tcBorders>
              <w:top w:val="single" w:color="CCCCCC" w:sz="1"/>
              <w:left w:val="single" w:color="CCCCCC" w:sz="1"/>
              <w:bottom w:val="single" w:color="CCCCCC" w:sz="1"/>
              <w:right w:val="single" w:color="CCCCCC" w:sz="1"/>
            </w:tcBorders>
          </w:tcPr>
          <w:p>
            <w:r>
              <w:t xml:space="preserve">ERP + Business Analytics Integration</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sz w:val="26"/>
                <w:szCs w:val="26"/>
              </w:rPr>
              <w:t xml:space="preserve">112%</w:t>
            </w:r>
          </w:p>
        </w:tc>
        <w:tc>
          <w:tcPr>
            <w:tcW w:type="dxa" w:w="2340"/>
            <w:tcBorders>
              <w:top w:val="single" w:color="CCCCCC" w:sz="1"/>
              <w:left w:val="single" w:color="CCCCCC" w:sz="1"/>
              <w:bottom w:val="single" w:color="CCCCCC" w:sz="1"/>
              <w:right w:val="single" w:color="CCCCCC" w:sz="1"/>
            </w:tcBorders>
          </w:tcPr>
          <w:p>
            <w:pPr>
              <w:jc w:val="center"/>
            </w:pPr>
            <w:r>
              <w:t xml:space="preserve">5 Years (1.6yr payback)</w:t>
            </w:r>
          </w:p>
        </w:tc>
      </w:tr>
      <w:tr>
        <w:tc>
          <w:tcPr>
            <w:tcW w:type="dxa" w:w="4680"/>
            <w:tcBorders>
              <w:top w:val="single" w:color="CCCCCC" w:sz="1"/>
              <w:left w:val="single" w:color="CCCCCC" w:sz="1"/>
              <w:bottom w:val="single" w:color="CCCCCC" w:sz="1"/>
              <w:right w:val="single" w:color="CCCCCC" w:sz="1"/>
            </w:tcBorders>
          </w:tcPr>
          <w:p>
            <w:r>
              <w:t xml:space="preserve">GenAI Adoption (Early Movers)</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sz w:val="24"/>
                <w:szCs w:val="24"/>
              </w:rPr>
              <w:t xml:space="preserve">$3.70 per $1</w:t>
            </w:r>
          </w:p>
        </w:tc>
        <w:tc>
          <w:tcPr>
            <w:tcW w:type="dxa" w:w="2340"/>
            <w:tcBorders>
              <w:top w:val="single" w:color="CCCCCC" w:sz="1"/>
              <w:left w:val="single" w:color="CCCCCC" w:sz="1"/>
              <w:bottom w:val="single" w:color="CCCCCC" w:sz="1"/>
              <w:right w:val="single" w:color="CCCCCC" w:sz="1"/>
            </w:tcBorders>
          </w:tcPr>
          <w:p>
            <w:pPr>
              <w:jc w:val="center"/>
            </w:pPr>
            <w:r>
              <w:t xml:space="preserve">Ongoing</w:t>
            </w:r>
          </w:p>
        </w:tc>
      </w:tr>
    </w:tbl>
    <w:p>
      <w:pPr>
        <w:pStyle w:val="Heading2"/>
      </w:pPr>
      <w:r>
        <w:t xml:space="preserve">2.2 Performance Improvements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Business Metric</w:t>
            </w:r>
          </w:p>
        </w:tc>
        <w:tc>
          <w:tcPr>
            <w:tcW w:type="dxa" w:w="468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Improvement with Data Analytics</w:t>
            </w:r>
          </w:p>
        </w:tc>
      </w:tr>
      <w:tr>
        <w:tc>
          <w:tcPr>
            <w:tcW w:type="dxa" w:w="4680"/>
            <w:tcBorders>
              <w:top w:val="single" w:color="CCCCCC" w:sz="1"/>
              <w:left w:val="single" w:color="CCCCCC" w:sz="1"/>
              <w:bottom w:val="single" w:color="CCCCCC" w:sz="1"/>
              <w:right w:val="single" w:color="CCCCCC" w:sz="1"/>
            </w:tcBorders>
          </w:tcPr>
          <w:p>
            <w:r>
              <w:t xml:space="preserve">Customer Acquisition Likelihood</w:t>
            </w:r>
          </w:p>
        </w:tc>
        <w:tc>
          <w:tcPr>
            <w:tcW w:type="dxa" w:w="468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23x MORE LIKELY</w:t>
            </w:r>
          </w:p>
        </w:tc>
      </w:tr>
      <w:tr>
        <w:tc>
          <w:tcPr>
            <w:tcW w:type="dxa" w:w="4680"/>
            <w:tcBorders>
              <w:top w:val="single" w:color="CCCCCC" w:sz="1"/>
              <w:left w:val="single" w:color="CCCCCC" w:sz="1"/>
              <w:bottom w:val="single" w:color="CCCCCC" w:sz="1"/>
              <w:right w:val="single" w:color="CCCCCC" w:sz="1"/>
            </w:tcBorders>
          </w:tcPr>
          <w:p>
            <w:r>
              <w:t xml:space="preserve">Customer Retention</w:t>
            </w:r>
          </w:p>
        </w:tc>
        <w:tc>
          <w:tcPr>
            <w:tcW w:type="dxa" w:w="468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6x MORE LIKELY</w:t>
            </w:r>
          </w:p>
        </w:tc>
      </w:tr>
      <w:tr>
        <w:tc>
          <w:tcPr>
            <w:tcW w:type="dxa" w:w="4680"/>
            <w:tcBorders>
              <w:top w:val="single" w:color="CCCCCC" w:sz="1"/>
              <w:left w:val="single" w:color="CCCCCC" w:sz="1"/>
              <w:bottom w:val="single" w:color="CCCCCC" w:sz="1"/>
              <w:right w:val="single" w:color="CCCCCC" w:sz="1"/>
            </w:tcBorders>
          </w:tcPr>
          <w:p>
            <w:r>
              <w:t xml:space="preserve">Profitability</w:t>
            </w:r>
          </w:p>
        </w:tc>
        <w:tc>
          <w:tcPr>
            <w:tcW w:type="dxa" w:w="468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19x MORE LIKELY</w:t>
            </w:r>
          </w:p>
        </w:tc>
      </w:tr>
      <w:tr>
        <w:tc>
          <w:tcPr>
            <w:tcW w:type="dxa" w:w="4680"/>
            <w:tcBorders>
              <w:top w:val="single" w:color="CCCCCC" w:sz="1"/>
              <w:left w:val="single" w:color="CCCCCC" w:sz="1"/>
              <w:bottom w:val="single" w:color="CCCCCC" w:sz="1"/>
              <w:right w:val="single" w:color="CCCCCC" w:sz="1"/>
            </w:tcBorders>
          </w:tcPr>
          <w:p>
            <w:r>
              <w:t xml:space="preserve">Productivity &amp; Profitability Boost</w:t>
            </w:r>
          </w:p>
        </w:tc>
        <w:tc>
          <w:tcPr>
            <w:tcW w:type="dxa" w:w="468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+20% INCREASE</w:t>
            </w:r>
          </w:p>
        </w:tc>
      </w:tr>
      <w:tr>
        <w:tc>
          <w:tcPr>
            <w:tcW w:type="dxa" w:w="4680"/>
            <w:tcBorders>
              <w:top w:val="single" w:color="CCCCCC" w:sz="1"/>
              <w:left w:val="single" w:color="CCCCCC" w:sz="1"/>
              <w:bottom w:val="single" w:color="CCCCCC" w:sz="1"/>
              <w:right w:val="single" w:color="CCCCCC" w:sz="1"/>
            </w:tcBorders>
          </w:tcPr>
          <w:p>
            <w:r>
              <w:t xml:space="preserve">Decision-Making Speed</w:t>
            </w:r>
          </w:p>
        </w:tc>
        <w:tc>
          <w:tcPr>
            <w:tcW w:type="dxa" w:w="468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5x FASTER</w:t>
            </w:r>
          </w:p>
        </w:tc>
      </w:tr>
      <w:tr>
        <w:tc>
          <w:tcPr>
            <w:tcW w:type="dxa" w:w="4680"/>
            <w:tcBorders>
              <w:top w:val="single" w:color="CCCCCC" w:sz="1"/>
              <w:left w:val="single" w:color="CCCCCC" w:sz="1"/>
              <w:bottom w:val="single" w:color="CCCCCC" w:sz="1"/>
              <w:right w:val="single" w:color="CCCCCC" w:sz="1"/>
            </w:tcBorders>
          </w:tcPr>
          <w:p>
            <w:r>
              <w:t xml:space="preserve">Employee Productivity (AI users)</w:t>
            </w:r>
          </w:p>
        </w:tc>
        <w:tc>
          <w:tcPr>
            <w:tcW w:type="dxa" w:w="468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+40% AVERAGE BOOST</w:t>
            </w:r>
          </w:p>
        </w:tc>
      </w:tr>
      <w:tr>
        <w:tc>
          <w:tcPr>
            <w:tcW w:type="dxa" w:w="4680"/>
            <w:tcBorders>
              <w:top w:val="single" w:color="CCCCCC" w:sz="1"/>
              <w:left w:val="single" w:color="CCCCCC" w:sz="1"/>
              <w:bottom w:val="single" w:color="CCCCCC" w:sz="1"/>
              <w:right w:val="single" w:color="CCCCCC" w:sz="1"/>
            </w:tcBorders>
          </w:tcPr>
          <w:p>
            <w:r>
              <w:t xml:space="preserve">Banking/Finance Revenue Growth</w:t>
            </w:r>
          </w:p>
        </w:tc>
        <w:tc>
          <w:tcPr>
            <w:tcW w:type="dxa" w:w="468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+20% OVER 3 YEARS</w:t>
            </w:r>
          </w:p>
        </w:tc>
      </w:tr>
      <w:tr>
        <w:tc>
          <w:tcPr>
            <w:tcW w:type="dxa" w:w="4680"/>
            <w:tcBorders>
              <w:top w:val="single" w:color="CCCCCC" w:sz="1"/>
              <w:left w:val="single" w:color="CCCCCC" w:sz="1"/>
              <w:bottom w:val="single" w:color="CCCCCC" w:sz="1"/>
              <w:right w:val="single" w:color="CCCCCC" w:sz="1"/>
            </w:tcBorders>
          </w:tcPr>
          <w:p>
            <w:r>
              <w:t xml:space="preserve">EBITDA Increase (B2B Sales)</w:t>
            </w:r>
          </w:p>
        </w:tc>
        <w:tc>
          <w:tcPr>
            <w:tcW w:type="dxa" w:w="468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15-25% INCREASE</w:t>
            </w:r>
          </w:p>
        </w:tc>
      </w:tr>
    </w:tbl>
    <w:p>
      <w:pPr>
        <w:spacing w:before="200"/>
      </w:pPr>
      <w:r>
        <w:rPr>
          <w:i/>
          <w:iCs/>
          <w:color w:val="666666"/>
        </w:rPr>
        <w:t xml:space="preserve">Source: </w:t>
      </w:r>
      <w:r>
        <w:rPr>
          <w:i/>
          <w:iCs/>
          <w:color w:val="666666"/>
        </w:rPr>
        <w:t xml:space="preserve">McKinsey Global Institute, Bain &amp; Company, BARC Research, Federal Reserve 2024-2025</w:t>
      </w:r>
    </w:p>
    <w:p>
      <w:r>
        <w:br w:type="page"/>
      </w:r>
    </w:p>
    <w:p>
      <w:pPr>
        <w:pStyle w:val="Heading1"/>
      </w:pPr>
      <w:r>
        <w:t xml:space="preserve">3. Industry-Specific Impact Analysis</w:t>
      </w:r>
    </w:p>
    <w:p>
      <w:pPr>
        <w:spacing w:before="200"/>
      </w:pPr>
      <w:r>
        <w:t xml:space="preserve">Data analytics delivers transformative results across all major industries that JLWanalytics serves. The following evidence demonstrates the specific value creation opportunities in each sector.</w:t>
      </w:r>
    </w:p>
    <w:p>
      <w:pPr>
        <w:pStyle w:val="Heading2"/>
      </w:pPr>
      <w:r>
        <w:t xml:space="preserve">3.1 Healthcare Industry Impact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47A1" w:sz="2"/>
              <w:left w:val="single" w:color="0D47A1" w:sz="2"/>
              <w:bottom w:val="single" w:color="0D47A1" w:sz="2"/>
              <w:right w:val="single" w:color="0D47A1" w:sz="2"/>
            </w:tcBorders>
            <w:shd w:fill="E91E63" w:val="clear"/>
          </w:tcPr>
          <w:p>
            <w:pPr>
              <w:jc w:val="center"/>
            </w:pPr>
            <w:r>
              <w:rPr>
                <w:b/>
                <w:bCs/>
                <w:color w:val="FFFFFF"/>
              </w:rPr>
              <w:t xml:space="preserve">Healthcare Metric</w:t>
            </w:r>
          </w:p>
        </w:tc>
        <w:tc>
          <w:tcPr>
            <w:tcW w:type="dxa" w:w="4680"/>
            <w:tcBorders>
              <w:top w:val="single" w:color="0D47A1" w:sz="2"/>
              <w:left w:val="single" w:color="0D47A1" w:sz="2"/>
              <w:bottom w:val="single" w:color="0D47A1" w:sz="2"/>
              <w:right w:val="single" w:color="0D47A1" w:sz="2"/>
            </w:tcBorders>
            <w:shd w:fill="E91E63" w:val="clear"/>
          </w:tcPr>
          <w:p>
            <w:pPr>
              <w:jc w:val="center"/>
            </w:pPr>
            <w:r>
              <w:rPr>
                <w:b/>
                <w:bCs/>
                <w:color w:val="FFFFFF"/>
              </w:rPr>
              <w:t xml:space="preserve">Documented Impact</w:t>
            </w:r>
          </w:p>
        </w:tc>
      </w:tr>
      <w:tr>
        <w:tc>
          <w:tcPr>
            <w:tcW w:type="dxa" w:w="4680"/>
            <w:tcBorders>
              <w:top w:val="single" w:color="CCCCCC" w:sz="1"/>
              <w:left w:val="single" w:color="CCCCCC" w:sz="1"/>
              <w:bottom w:val="single" w:color="CCCCCC" w:sz="1"/>
              <w:right w:val="single" w:color="CCCCCC" w:sz="1"/>
            </w:tcBorders>
          </w:tcPr>
          <w:p>
            <w:r>
              <w:t xml:space="preserve">Hospital Readmission Reduction</w:t>
            </w:r>
          </w:p>
        </w:tc>
        <w:tc>
          <w:tcPr>
            <w:tcW w:type="dxa" w:w="4680"/>
            <w:tcBorders>
              <w:top w:val="single" w:color="CCCCCC" w:sz="1"/>
              <w:left w:val="single" w:color="CCCCCC" w:sz="1"/>
              <w:bottom w:val="single" w:color="CCCCCC" w:sz="1"/>
              <w:right w:val="single" w:color="CCCCCC" w:sz="1"/>
            </w:tcBorders>
          </w:tcPr>
          <w:p>
            <w:r>
              <w:rPr>
                <w:b/>
                <w:bCs/>
              </w:rPr>
              <w:t xml:space="preserve">22% reduction</w:t>
            </w:r>
            <w:r>
              <w:t xml:space="preserve"> (Massachusetts General Hospital)</w:t>
            </w:r>
          </w:p>
        </w:tc>
      </w:tr>
      <w:tr>
        <w:tc>
          <w:tcPr>
            <w:tcW w:type="dxa" w:w="4680"/>
            <w:tcBorders>
              <w:top w:val="single" w:color="CCCCCC" w:sz="1"/>
              <w:left w:val="single" w:color="CCCCCC" w:sz="1"/>
              <w:bottom w:val="single" w:color="CCCCCC" w:sz="1"/>
              <w:right w:val="single" w:color="CCCCCC" w:sz="1"/>
            </w:tcBorders>
          </w:tcPr>
          <w:p>
            <w:r>
              <w:t xml:space="preserve">Supply Chain Cost Savings</w:t>
            </w:r>
          </w:p>
        </w:tc>
        <w:tc>
          <w:tcPr>
            <w:tcW w:type="dxa" w:w="4680"/>
            <w:tcBorders>
              <w:top w:val="single" w:color="CCCCCC" w:sz="1"/>
              <w:left w:val="single" w:color="CCCCCC" w:sz="1"/>
              <w:bottom w:val="single" w:color="CCCCCC" w:sz="1"/>
              <w:right w:val="single" w:color="CCCCCC" w:sz="1"/>
            </w:tcBorders>
          </w:tcPr>
          <w:p>
            <w:r>
              <w:rPr>
                <w:b/>
                <w:bCs/>
              </w:rPr>
              <w:t xml:space="preserve">Up to $10 Million</w:t>
            </w:r>
            <w:r>
              <w:t xml:space="preserve"> annually per hospital</w:t>
            </w:r>
          </w:p>
        </w:tc>
      </w:tr>
      <w:tr>
        <w:tc>
          <w:tcPr>
            <w:tcW w:type="dxa" w:w="4680"/>
            <w:tcBorders>
              <w:top w:val="single" w:color="CCCCCC" w:sz="1"/>
              <w:left w:val="single" w:color="CCCCCC" w:sz="1"/>
              <w:bottom w:val="single" w:color="CCCCCC" w:sz="1"/>
              <w:right w:val="single" w:color="CCCCCC" w:sz="1"/>
            </w:tcBorders>
          </w:tcPr>
          <w:p>
            <w:r>
              <w:t xml:space="preserve">EHR Implementation Savings</w:t>
            </w:r>
          </w:p>
        </w:tc>
        <w:tc>
          <w:tcPr>
            <w:tcW w:type="dxa" w:w="4680"/>
            <w:tcBorders>
              <w:top w:val="single" w:color="CCCCCC" w:sz="1"/>
              <w:left w:val="single" w:color="CCCCCC" w:sz="1"/>
              <w:bottom w:val="single" w:color="CCCCCC" w:sz="1"/>
              <w:right w:val="single" w:color="CCCCCC" w:sz="1"/>
            </w:tcBorders>
          </w:tcPr>
          <w:p>
            <w:r>
              <w:rPr>
                <w:b/>
                <w:bCs/>
              </w:rPr>
              <w:t xml:space="preserve">£2.25 Million</w:t>
            </w:r>
            <w:r>
              <w:t xml:space="preserve"> budget reduction in 2 years (Imperial College)</w:t>
            </w:r>
          </w:p>
        </w:tc>
      </w:tr>
      <w:tr>
        <w:tc>
          <w:tcPr>
            <w:tcW w:type="dxa" w:w="4680"/>
            <w:tcBorders>
              <w:top w:val="single" w:color="CCCCCC" w:sz="1"/>
              <w:left w:val="single" w:color="CCCCCC" w:sz="1"/>
              <w:bottom w:val="single" w:color="CCCCCC" w:sz="1"/>
              <w:right w:val="single" w:color="CCCCCC" w:sz="1"/>
            </w:tcBorders>
          </w:tcPr>
          <w:p>
            <w:r>
              <w:t xml:space="preserve">Inventory Holding Cost Reduction</w:t>
            </w:r>
          </w:p>
        </w:tc>
        <w:tc>
          <w:tcPr>
            <w:tcW w:type="dxa" w:w="4680"/>
            <w:tcBorders>
              <w:top w:val="single" w:color="CCCCCC" w:sz="1"/>
              <w:left w:val="single" w:color="CCCCCC" w:sz="1"/>
              <w:bottom w:val="single" w:color="CCCCCC" w:sz="1"/>
              <w:right w:val="single" w:color="CCCCCC" w:sz="1"/>
            </w:tcBorders>
          </w:tcPr>
          <w:p>
            <w:r>
              <w:rPr>
                <w:b/>
                <w:bCs/>
              </w:rPr>
              <w:t xml:space="preserve">20% reduction</w:t>
            </w:r>
            <w:r>
              <w:t xml:space="preserve"> (Cleveland Clinic)</w:t>
            </w:r>
          </w:p>
        </w:tc>
      </w:tr>
      <w:tr>
        <w:tc>
          <w:tcPr>
            <w:tcW w:type="dxa" w:w="4680"/>
            <w:tcBorders>
              <w:top w:val="single" w:color="CCCCCC" w:sz="1"/>
              <w:left w:val="single" w:color="CCCCCC" w:sz="1"/>
              <w:bottom w:val="single" w:color="CCCCCC" w:sz="1"/>
              <w:right w:val="single" w:color="CCCCCC" w:sz="1"/>
            </w:tcBorders>
          </w:tcPr>
          <w:p>
            <w:r>
              <w:t xml:space="preserve">Preventable Waste from Errors</w:t>
            </w:r>
          </w:p>
        </w:tc>
        <w:tc>
          <w:tcPr>
            <w:tcW w:type="dxa" w:w="4680"/>
            <w:tcBorders>
              <w:top w:val="single" w:color="CCCCCC" w:sz="1"/>
              <w:left w:val="single" w:color="CCCCCC" w:sz="1"/>
              <w:bottom w:val="single" w:color="CCCCCC" w:sz="1"/>
              <w:right w:val="single" w:color="CCCCCC" w:sz="1"/>
            </w:tcBorders>
          </w:tcPr>
          <w:p>
            <w:r>
              <w:rPr>
                <w:b/>
                <w:bCs/>
              </w:rPr>
              <w:t xml:space="preserve">$300 Billion</w:t>
            </w:r>
            <w:r>
              <w:t xml:space="preserve"> saved by reducing human errors (US data)</w:t>
            </w:r>
          </w:p>
        </w:tc>
      </w:tr>
      <w:tr>
        <w:tc>
          <w:tcPr>
            <w:tcW w:type="dxa" w:w="4680"/>
            <w:tcBorders>
              <w:top w:val="single" w:color="CCCCCC" w:sz="1"/>
              <w:left w:val="single" w:color="CCCCCC" w:sz="1"/>
              <w:bottom w:val="single" w:color="CCCCCC" w:sz="1"/>
              <w:right w:val="single" w:color="CCCCCC" w:sz="1"/>
            </w:tcBorders>
          </w:tcPr>
          <w:p>
            <w:r>
              <w:t xml:space="preserve">Big Data Growth in Healthcare</w:t>
            </w:r>
          </w:p>
        </w:tc>
        <w:tc>
          <w:tcPr>
            <w:tcW w:type="dxa" w:w="4680"/>
            <w:tcBorders>
              <w:top w:val="single" w:color="CCCCCC" w:sz="1"/>
              <w:left w:val="single" w:color="CCCCCC" w:sz="1"/>
              <w:bottom w:val="single" w:color="CCCCCC" w:sz="1"/>
              <w:right w:val="single" w:color="CCCCCC" w:sz="1"/>
            </w:tcBorders>
          </w:tcPr>
          <w:p>
            <w:r>
              <w:rPr>
                <w:b/>
                <w:bCs/>
              </w:rPr>
              <w:t xml:space="preserve">568% increase</w:t>
            </w:r>
            <w:r>
              <w:t xml:space="preserve"> over the past decade</w:t>
            </w:r>
          </w:p>
        </w:tc>
      </w:tr>
    </w:tbl>
    <w:p>
      <w:pPr>
        <w:pStyle w:val="Heading2"/>
      </w:pPr>
      <w:r>
        <w:t xml:space="preserve">3.2 Banking &amp; Financial Services Impact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47A1" w:sz="2"/>
              <w:left w:val="single" w:color="0D47A1" w:sz="2"/>
              <w:bottom w:val="single" w:color="0D47A1" w:sz="2"/>
              <w:right w:val="single" w:color="0D47A1" w:sz="2"/>
            </w:tcBorders>
            <w:shd w:fill="1565C0" w:val="clear"/>
          </w:tcPr>
          <w:p>
            <w:pPr>
              <w:jc w:val="center"/>
            </w:pPr>
            <w:r>
              <w:rPr>
                <w:b/>
                <w:bCs/>
                <w:color w:val="FFFFFF"/>
              </w:rPr>
              <w:t xml:space="preserve">Financial Services Metric</w:t>
            </w:r>
          </w:p>
        </w:tc>
        <w:tc>
          <w:tcPr>
            <w:tcW w:type="dxa" w:w="4680"/>
            <w:tcBorders>
              <w:top w:val="single" w:color="0D47A1" w:sz="2"/>
              <w:left w:val="single" w:color="0D47A1" w:sz="2"/>
              <w:bottom w:val="single" w:color="0D47A1" w:sz="2"/>
              <w:right w:val="single" w:color="0D47A1" w:sz="2"/>
            </w:tcBorders>
            <w:shd w:fill="1565C0" w:val="clear"/>
          </w:tcPr>
          <w:p>
            <w:pPr>
              <w:jc w:val="center"/>
            </w:pPr>
            <w:r>
              <w:rPr>
                <w:b/>
                <w:bCs/>
                <w:color w:val="FFFFFF"/>
              </w:rPr>
              <w:t xml:space="preserve">Documented Impact</w:t>
            </w:r>
          </w:p>
        </w:tc>
      </w:tr>
      <w:tr>
        <w:tc>
          <w:tcPr>
            <w:tcW w:type="dxa" w:w="4680"/>
            <w:tcBorders>
              <w:top w:val="single" w:color="CCCCCC" w:sz="1"/>
              <w:left w:val="single" w:color="CCCCCC" w:sz="1"/>
              <w:bottom w:val="single" w:color="CCCCCC" w:sz="1"/>
              <w:right w:val="single" w:color="CCCCCC" w:sz="1"/>
            </w:tcBorders>
          </w:tcPr>
          <w:p>
            <w:r>
              <w:t xml:space="preserve">Corporate Revenue Growth</w:t>
            </w:r>
          </w:p>
        </w:tc>
        <w:tc>
          <w:tcPr>
            <w:tcW w:type="dxa" w:w="4680"/>
            <w:tcBorders>
              <w:top w:val="single" w:color="CCCCCC" w:sz="1"/>
              <w:left w:val="single" w:color="CCCCCC" w:sz="1"/>
              <w:bottom w:val="single" w:color="CCCCCC" w:sz="1"/>
              <w:right w:val="single" w:color="CCCCCC" w:sz="1"/>
            </w:tcBorders>
          </w:tcPr>
          <w:p>
            <w:r>
              <w:rPr>
                <w:b/>
                <w:bCs/>
              </w:rPr>
              <w:t xml:space="preserve">&gt;20% over 3 years</w:t>
            </w:r>
            <w:r>
              <w:t xml:space="preserve"> (McKinsey)</w:t>
            </w:r>
          </w:p>
        </w:tc>
      </w:tr>
      <w:tr>
        <w:tc>
          <w:tcPr>
            <w:tcW w:type="dxa" w:w="4680"/>
            <w:tcBorders>
              <w:top w:val="single" w:color="CCCCCC" w:sz="1"/>
              <w:left w:val="single" w:color="CCCCCC" w:sz="1"/>
              <w:bottom w:val="single" w:color="CCCCCC" w:sz="1"/>
              <w:right w:val="single" w:color="CCCCCC" w:sz="1"/>
            </w:tcBorders>
          </w:tcPr>
          <w:p>
            <w:r>
              <w:t xml:space="preserve">Risk Assessment Accuracy</w:t>
            </w:r>
          </w:p>
        </w:tc>
        <w:tc>
          <w:tcPr>
            <w:tcW w:type="dxa" w:w="4680"/>
            <w:tcBorders>
              <w:top w:val="single" w:color="CCCCCC" w:sz="1"/>
              <w:left w:val="single" w:color="CCCCCC" w:sz="1"/>
              <w:bottom w:val="single" w:color="CCCCCC" w:sz="1"/>
              <w:right w:val="single" w:color="CCCCCC" w:sz="1"/>
            </w:tcBorders>
          </w:tcPr>
          <w:p>
            <w:r>
              <w:rPr>
                <w:b/>
                <w:bCs/>
              </w:rPr>
              <w:t xml:space="preserve">67% improvement</w:t>
            </w:r>
            <w:r>
              <w:t xml:space="preserve"> (Willis Towers Watson)</w:t>
            </w:r>
          </w:p>
        </w:tc>
      </w:tr>
      <w:tr>
        <w:tc>
          <w:tcPr>
            <w:tcW w:type="dxa" w:w="4680"/>
            <w:tcBorders>
              <w:top w:val="single" w:color="CCCCCC" w:sz="1"/>
              <w:left w:val="single" w:color="CCCCCC" w:sz="1"/>
              <w:bottom w:val="single" w:color="CCCCCC" w:sz="1"/>
              <w:right w:val="single" w:color="CCCCCC" w:sz="1"/>
            </w:tcBorders>
          </w:tcPr>
          <w:p>
            <w:r>
              <w:t xml:space="preserve">Combined Ratio Decrease</w:t>
            </w:r>
          </w:p>
        </w:tc>
        <w:tc>
          <w:tcPr>
            <w:tcW w:type="dxa" w:w="4680"/>
            <w:tcBorders>
              <w:top w:val="single" w:color="CCCCCC" w:sz="1"/>
              <w:left w:val="single" w:color="CCCCCC" w:sz="1"/>
              <w:bottom w:val="single" w:color="CCCCCC" w:sz="1"/>
              <w:right w:val="single" w:color="CCCCCC" w:sz="1"/>
            </w:tcBorders>
          </w:tcPr>
          <w:p>
            <w:r>
              <w:rPr>
                <w:b/>
                <w:bCs/>
              </w:rPr>
              <w:t xml:space="preserve">5.7% improvement</w:t>
            </w:r>
            <w:r>
              <w:t xml:space="preserve"> in underwriting</w:t>
            </w:r>
          </w:p>
        </w:tc>
      </w:tr>
      <w:tr>
        <w:tc>
          <w:tcPr>
            <w:tcW w:type="dxa" w:w="4680"/>
            <w:tcBorders>
              <w:top w:val="single" w:color="CCCCCC" w:sz="1"/>
              <w:left w:val="single" w:color="CCCCCC" w:sz="1"/>
              <w:bottom w:val="single" w:color="CCCCCC" w:sz="1"/>
              <w:right w:val="single" w:color="CCCCCC" w:sz="1"/>
            </w:tcBorders>
          </w:tcPr>
          <w:p>
            <w:r>
              <w:t xml:space="preserve">Customer Retention Improvement</w:t>
            </w:r>
          </w:p>
        </w:tc>
        <w:tc>
          <w:tcPr>
            <w:tcW w:type="dxa" w:w="4680"/>
            <w:tcBorders>
              <w:top w:val="single" w:color="CCCCCC" w:sz="1"/>
              <w:left w:val="single" w:color="CCCCCC" w:sz="1"/>
              <w:bottom w:val="single" w:color="CCCCCC" w:sz="1"/>
              <w:right w:val="single" w:color="CCCCCC" w:sz="1"/>
            </w:tcBorders>
          </w:tcPr>
          <w:p>
            <w:r>
              <w:rPr>
                <w:b/>
                <w:bCs/>
              </w:rPr>
              <w:t xml:space="preserve">23% improvement</w:t>
            </w:r>
            <w:r>
              <w:t xml:space="preserve"> (J.D. Power)</w:t>
            </w:r>
          </w:p>
        </w:tc>
      </w:tr>
      <w:tr>
        <w:tc>
          <w:tcPr>
            <w:tcW w:type="dxa" w:w="4680"/>
            <w:tcBorders>
              <w:top w:val="single" w:color="CCCCCC" w:sz="1"/>
              <w:left w:val="single" w:color="CCCCCC" w:sz="1"/>
              <w:bottom w:val="single" w:color="CCCCCC" w:sz="1"/>
              <w:right w:val="single" w:color="CCCCCC" w:sz="1"/>
            </w:tcBorders>
          </w:tcPr>
          <w:p>
            <w:r>
              <w:t xml:space="preserve">Cross-Selling Success</w:t>
            </w:r>
          </w:p>
        </w:tc>
        <w:tc>
          <w:tcPr>
            <w:tcW w:type="dxa" w:w="4680"/>
            <w:tcBorders>
              <w:top w:val="single" w:color="CCCCCC" w:sz="1"/>
              <w:left w:val="single" w:color="CCCCCC" w:sz="1"/>
              <w:bottom w:val="single" w:color="CCCCCC" w:sz="1"/>
              <w:right w:val="single" w:color="CCCCCC" w:sz="1"/>
            </w:tcBorders>
          </w:tcPr>
          <w:p>
            <w:r>
              <w:rPr>
                <w:b/>
                <w:bCs/>
              </w:rPr>
              <w:t xml:space="preserve">45% increase</w:t>
            </w:r>
            <w:r>
              <w:t xml:space="preserve"> vs traditional methods</w:t>
            </w:r>
          </w:p>
        </w:tc>
      </w:tr>
      <w:tr>
        <w:tc>
          <w:tcPr>
            <w:tcW w:type="dxa" w:w="4680"/>
            <w:tcBorders>
              <w:top w:val="single" w:color="CCCCCC" w:sz="1"/>
              <w:left w:val="single" w:color="CCCCCC" w:sz="1"/>
              <w:bottom w:val="single" w:color="CCCCCC" w:sz="1"/>
              <w:right w:val="single" w:color="CCCCCC" w:sz="1"/>
            </w:tcBorders>
          </w:tcPr>
          <w:p>
            <w:r>
              <w:t xml:space="preserve">Customer Acquisition Cost</w:t>
            </w:r>
          </w:p>
        </w:tc>
        <w:tc>
          <w:tcPr>
            <w:tcW w:type="dxa" w:w="4680"/>
            <w:tcBorders>
              <w:top w:val="single" w:color="CCCCCC" w:sz="1"/>
              <w:left w:val="single" w:color="CCCCCC" w:sz="1"/>
              <w:bottom w:val="single" w:color="CCCCCC" w:sz="1"/>
              <w:right w:val="single" w:color="CCCCCC" w:sz="1"/>
            </w:tcBorders>
          </w:tcPr>
          <w:p>
            <w:r>
              <w:rPr>
                <w:b/>
                <w:bCs/>
              </w:rPr>
              <w:t xml:space="preserve">17% reduction</w:t>
            </w:r>
            <w:r>
              <w:t xml:space="preserve"> (Forrester)</w:t>
            </w:r>
          </w:p>
        </w:tc>
      </w:tr>
      <w:tr>
        <w:tc>
          <w:tcPr>
            <w:tcW w:type="dxa" w:w="4680"/>
            <w:tcBorders>
              <w:top w:val="single" w:color="CCCCCC" w:sz="1"/>
              <w:left w:val="single" w:color="CCCCCC" w:sz="1"/>
              <w:bottom w:val="single" w:color="CCCCCC" w:sz="1"/>
              <w:right w:val="single" w:color="CCCCCC" w:sz="1"/>
            </w:tcBorders>
          </w:tcPr>
          <w:p>
            <w:r>
              <w:t xml:space="preserve">Annual AI/Analytics Investment</w:t>
            </w:r>
          </w:p>
        </w:tc>
        <w:tc>
          <w:tcPr>
            <w:tcW w:type="dxa" w:w="4680"/>
            <w:tcBorders>
              <w:top w:val="single" w:color="CCCCCC" w:sz="1"/>
              <w:left w:val="single" w:color="CCCCCC" w:sz="1"/>
              <w:bottom w:val="single" w:color="CCCCCC" w:sz="1"/>
              <w:right w:val="single" w:color="CCCCCC" w:sz="1"/>
            </w:tcBorders>
          </w:tcPr>
          <w:p>
            <w:r>
              <w:rPr>
                <w:b/>
                <w:bCs/>
              </w:rPr>
              <w:t xml:space="preserve">$31.3 Billion</w:t>
            </w:r>
            <w:r>
              <w:t xml:space="preserve"> in 2024 alone</w:t>
            </w:r>
          </w:p>
        </w:tc>
      </w:tr>
    </w:tbl>
    <w:p>
      <w:pPr>
        <w:pStyle w:val="Heading2"/>
      </w:pPr>
      <w:r>
        <w:t xml:space="preserve">3.3 Retail &amp; E-Commerce Impact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47A1" w:sz="2"/>
              <w:left w:val="single" w:color="0D47A1" w:sz="2"/>
              <w:bottom w:val="single" w:color="0D47A1" w:sz="2"/>
              <w:right w:val="single" w:color="0D47A1" w:sz="2"/>
            </w:tcBorders>
            <w:shd w:fill="FF6F00" w:val="clear"/>
          </w:tcPr>
          <w:p>
            <w:pPr>
              <w:jc w:val="center"/>
            </w:pPr>
            <w:r>
              <w:rPr>
                <w:b/>
                <w:bCs/>
                <w:color w:val="000000"/>
              </w:rPr>
              <w:t xml:space="preserve">Retail Metric</w:t>
            </w:r>
          </w:p>
        </w:tc>
        <w:tc>
          <w:tcPr>
            <w:tcW w:type="dxa" w:w="4680"/>
            <w:tcBorders>
              <w:top w:val="single" w:color="0D47A1" w:sz="2"/>
              <w:left w:val="single" w:color="0D47A1" w:sz="2"/>
              <w:bottom w:val="single" w:color="0D47A1" w:sz="2"/>
              <w:right w:val="single" w:color="0D47A1" w:sz="2"/>
            </w:tcBorders>
            <w:shd w:fill="FF6F00" w:val="clear"/>
          </w:tcPr>
          <w:p>
            <w:pPr>
              <w:jc w:val="center"/>
            </w:pPr>
            <w:r>
              <w:rPr>
                <w:b/>
                <w:bCs/>
                <w:color w:val="000000"/>
              </w:rPr>
              <w:t xml:space="preserve">Documented Impact</w:t>
            </w:r>
          </w:p>
        </w:tc>
      </w:tr>
      <w:tr>
        <w:tc>
          <w:tcPr>
            <w:tcW w:type="dxa" w:w="4680"/>
            <w:tcBorders>
              <w:top w:val="single" w:color="CCCCCC" w:sz="1"/>
              <w:left w:val="single" w:color="CCCCCC" w:sz="1"/>
              <w:bottom w:val="single" w:color="CCCCCC" w:sz="1"/>
              <w:right w:val="single" w:color="CCCCCC" w:sz="1"/>
            </w:tcBorders>
          </w:tcPr>
          <w:p>
            <w:r>
              <w:t xml:space="preserve">Personalization Revenue Lift</w:t>
            </w:r>
          </w:p>
        </w:tc>
        <w:tc>
          <w:tcPr>
            <w:tcW w:type="dxa" w:w="4680"/>
            <w:tcBorders>
              <w:top w:val="single" w:color="CCCCCC" w:sz="1"/>
              <w:left w:val="single" w:color="CCCCCC" w:sz="1"/>
              <w:bottom w:val="single" w:color="CCCCCC" w:sz="1"/>
              <w:right w:val="single" w:color="CCCCCC" w:sz="1"/>
            </w:tcBorders>
          </w:tcPr>
          <w:p>
            <w:r>
              <w:rPr>
                <w:b/>
                <w:bCs/>
              </w:rPr>
              <w:t xml:space="preserve">10-25% increase</w:t>
            </w:r>
            <w:r>
              <w:t xml:space="preserve"> (McKinsey)</w:t>
            </w:r>
          </w:p>
        </w:tc>
      </w:tr>
      <w:tr>
        <w:tc>
          <w:tcPr>
            <w:tcW w:type="dxa" w:w="4680"/>
            <w:tcBorders>
              <w:top w:val="single" w:color="CCCCCC" w:sz="1"/>
              <w:left w:val="single" w:color="CCCCCC" w:sz="1"/>
              <w:bottom w:val="single" w:color="CCCCCC" w:sz="1"/>
              <w:right w:val="single" w:color="CCCCCC" w:sz="1"/>
            </w:tcBorders>
          </w:tcPr>
          <w:p>
            <w:r>
              <w:t xml:space="preserve">Customer Retention</w:t>
            </w:r>
          </w:p>
        </w:tc>
        <w:tc>
          <w:tcPr>
            <w:tcW w:type="dxa" w:w="4680"/>
            <w:tcBorders>
              <w:top w:val="single" w:color="CCCCCC" w:sz="1"/>
              <w:left w:val="single" w:color="CCCCCC" w:sz="1"/>
              <w:bottom w:val="single" w:color="CCCCCC" w:sz="1"/>
              <w:right w:val="single" w:color="CCCCCC" w:sz="1"/>
            </w:tcBorders>
          </w:tcPr>
          <w:p>
            <w:r>
              <w:rPr>
                <w:b/>
                <w:bCs/>
              </w:rPr>
              <w:t xml:space="preserve">25% boost</w:t>
            </w:r>
          </w:p>
        </w:tc>
      </w:tr>
      <w:tr>
        <w:tc>
          <w:tcPr>
            <w:tcW w:type="dxa" w:w="4680"/>
            <w:tcBorders>
              <w:top w:val="single" w:color="CCCCCC" w:sz="1"/>
              <w:left w:val="single" w:color="CCCCCC" w:sz="1"/>
              <w:bottom w:val="single" w:color="CCCCCC" w:sz="1"/>
              <w:right w:val="single" w:color="CCCCCC" w:sz="1"/>
            </w:tcBorders>
          </w:tcPr>
          <w:p>
            <w:r>
              <w:t xml:space="preserve">Average Order Value</w:t>
            </w:r>
          </w:p>
        </w:tc>
        <w:tc>
          <w:tcPr>
            <w:tcW w:type="dxa" w:w="4680"/>
            <w:tcBorders>
              <w:top w:val="single" w:color="CCCCCC" w:sz="1"/>
              <w:left w:val="single" w:color="CCCCCC" w:sz="1"/>
              <w:bottom w:val="single" w:color="CCCCCC" w:sz="1"/>
              <w:right w:val="single" w:color="CCCCCC" w:sz="1"/>
            </w:tcBorders>
          </w:tcPr>
          <w:p>
            <w:r>
              <w:rPr>
                <w:b/>
                <w:bCs/>
              </w:rPr>
              <w:t xml:space="preserve">20-40% increase</w:t>
            </w:r>
          </w:p>
        </w:tc>
      </w:tr>
      <w:tr>
        <w:tc>
          <w:tcPr>
            <w:tcW w:type="dxa" w:w="4680"/>
            <w:tcBorders>
              <w:top w:val="single" w:color="CCCCCC" w:sz="1"/>
              <w:left w:val="single" w:color="CCCCCC" w:sz="1"/>
              <w:bottom w:val="single" w:color="CCCCCC" w:sz="1"/>
              <w:right w:val="single" w:color="CCCCCC" w:sz="1"/>
            </w:tcBorders>
          </w:tcPr>
          <w:p>
            <w:r>
              <w:t xml:space="preserve">Conversion Rate (Recommendations)</w:t>
            </w:r>
          </w:p>
        </w:tc>
        <w:tc>
          <w:tcPr>
            <w:tcW w:type="dxa" w:w="4680"/>
            <w:tcBorders>
              <w:top w:val="single" w:color="CCCCCC" w:sz="1"/>
              <w:left w:val="single" w:color="CCCCCC" w:sz="1"/>
              <w:bottom w:val="single" w:color="CCCCCC" w:sz="1"/>
              <w:right w:val="single" w:color="CCCCCC" w:sz="1"/>
            </w:tcBorders>
          </w:tcPr>
          <w:p>
            <w:r>
              <w:rPr>
                <w:b/>
                <w:bCs/>
              </w:rPr>
              <w:t xml:space="preserve">15-20% lift</w:t>
            </w:r>
          </w:p>
        </w:tc>
      </w:tr>
      <w:tr>
        <w:tc>
          <w:tcPr>
            <w:tcW w:type="dxa" w:w="4680"/>
            <w:tcBorders>
              <w:top w:val="single" w:color="CCCCCC" w:sz="1"/>
              <w:left w:val="single" w:color="CCCCCC" w:sz="1"/>
              <w:bottom w:val="single" w:color="CCCCCC" w:sz="1"/>
              <w:right w:val="single" w:color="CCCCCC" w:sz="1"/>
            </w:tcBorders>
          </w:tcPr>
          <w:p>
            <w:r>
              <w:t xml:space="preserve">Profit Margin (Dynamic Pricing)</w:t>
            </w:r>
          </w:p>
        </w:tc>
        <w:tc>
          <w:tcPr>
            <w:tcW w:type="dxa" w:w="4680"/>
            <w:tcBorders>
              <w:top w:val="single" w:color="CCCCCC" w:sz="1"/>
              <w:left w:val="single" w:color="CCCCCC" w:sz="1"/>
              <w:bottom w:val="single" w:color="CCCCCC" w:sz="1"/>
              <w:right w:val="single" w:color="CCCCCC" w:sz="1"/>
            </w:tcBorders>
          </w:tcPr>
          <w:p>
            <w:r>
              <w:rPr>
                <w:b/>
                <w:bCs/>
              </w:rPr>
              <w:t xml:space="preserve">10-15% increase</w:t>
            </w:r>
          </w:p>
        </w:tc>
      </w:tr>
      <w:tr>
        <w:tc>
          <w:tcPr>
            <w:tcW w:type="dxa" w:w="4680"/>
            <w:tcBorders>
              <w:top w:val="single" w:color="CCCCCC" w:sz="1"/>
              <w:left w:val="single" w:color="CCCCCC" w:sz="1"/>
              <w:bottom w:val="single" w:color="CCCCCC" w:sz="1"/>
              <w:right w:val="single" w:color="CCCCCC" w:sz="1"/>
            </w:tcBorders>
          </w:tcPr>
          <w:p>
            <w:r>
              <w:t xml:space="preserve">Omnichannel Conversion Rate</w:t>
            </w:r>
          </w:p>
        </w:tc>
        <w:tc>
          <w:tcPr>
            <w:tcW w:type="dxa" w:w="4680"/>
            <w:tcBorders>
              <w:top w:val="single" w:color="CCCCCC" w:sz="1"/>
              <w:left w:val="single" w:color="CCCCCC" w:sz="1"/>
              <w:bottom w:val="single" w:color="CCCCCC" w:sz="1"/>
              <w:right w:val="single" w:color="CCCCCC" w:sz="1"/>
            </w:tcBorders>
          </w:tcPr>
          <w:p>
            <w:r>
              <w:rPr>
                <w:b/>
                <w:bCs/>
              </w:rPr>
              <w:t xml:space="preserve">25.8% higher</w:t>
            </w:r>
          </w:p>
        </w:tc>
      </w:tr>
      <w:tr>
        <w:tc>
          <w:tcPr>
            <w:tcW w:type="dxa" w:w="4680"/>
            <w:tcBorders>
              <w:top w:val="single" w:color="CCCCCC" w:sz="1"/>
              <w:left w:val="single" w:color="CCCCCC" w:sz="1"/>
              <w:bottom w:val="single" w:color="CCCCCC" w:sz="1"/>
              <w:right w:val="single" w:color="CCCCCC" w:sz="1"/>
            </w:tcBorders>
          </w:tcPr>
          <w:p>
            <w:r>
              <w:t xml:space="preserve">Inventory Cost Savings (Walmart)</w:t>
            </w:r>
          </w:p>
        </w:tc>
        <w:tc>
          <w:tcPr>
            <w:tcW w:type="dxa" w:w="4680"/>
            <w:tcBorders>
              <w:top w:val="single" w:color="CCCCCC" w:sz="1"/>
              <w:left w:val="single" w:color="CCCCCC" w:sz="1"/>
              <w:bottom w:val="single" w:color="CCCCCC" w:sz="1"/>
              <w:right w:val="single" w:color="CCCCCC" w:sz="1"/>
            </w:tcBorders>
          </w:tcPr>
          <w:p>
            <w:r>
              <w:rPr>
                <w:b/>
                <w:bCs/>
              </w:rPr>
              <w:t xml:space="preserve">$1 Billion annually</w:t>
            </w:r>
          </w:p>
        </w:tc>
      </w:tr>
    </w:tbl>
    <w:p>
      <w:r>
        <w:br w:type="page"/>
      </w:r>
    </w:p>
    <w:p>
      <w:pPr>
        <w:pStyle w:val="Heading1"/>
      </w:pPr>
      <w:r>
        <w:t xml:space="preserve">4. Risk Reduction &amp; Competitive Advantage</w:t>
      </w:r>
    </w:p>
    <w:p>
      <w:pPr>
        <w:pStyle w:val="Heading2"/>
      </w:pPr>
      <w:r>
        <w:t xml:space="preserve">4.1 Risk Mitigation Through Analytics</w:t>
      </w:r>
    </w:p>
    <w:p>
      <w:pPr>
        <w:spacing w:before="200"/>
      </w:pPr>
      <w:r>
        <w:t xml:space="preserve">Data analytics fundamentally transforms how organizations identify, assess, and mitigate business risks. The evidence shows that analytics-driven risk management significantly outperforms traditional approaches.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c>
          <w:tcPr>
            <w:tcW w:type="dxa" w:w="3744"/>
            <w:tcBorders>
              <w:top w:val="single" w:color="0D47A1" w:sz="2"/>
              <w:left w:val="single" w:color="0D47A1" w:sz="2"/>
              <w:bottom w:val="single" w:color="0D47A1" w:sz="2"/>
              <w:right w:val="single" w:color="0D47A1" w:sz="2"/>
            </w:tcBorders>
            <w:shd w:fill="C62828" w:val="clear"/>
          </w:tcPr>
          <w:p>
            <w:pPr>
              <w:jc w:val="center"/>
            </w:pPr>
            <w:r>
              <w:rPr>
                <w:b/>
                <w:bCs/>
                <w:color w:val="FFFFFF"/>
              </w:rPr>
              <w:t xml:space="preserve">Risk Category</w:t>
            </w:r>
          </w:p>
        </w:tc>
        <w:tc>
          <w:tcPr>
            <w:tcW w:type="dxa" w:w="2808"/>
            <w:tcBorders>
              <w:top w:val="single" w:color="0D47A1" w:sz="2"/>
              <w:left w:val="single" w:color="0D47A1" w:sz="2"/>
              <w:bottom w:val="single" w:color="0D47A1" w:sz="2"/>
              <w:right w:val="single" w:color="0D47A1" w:sz="2"/>
            </w:tcBorders>
            <w:shd w:fill="C62828" w:val="clear"/>
          </w:tcPr>
          <w:p>
            <w:pPr>
              <w:jc w:val="center"/>
            </w:pPr>
            <w:r>
              <w:rPr>
                <w:b/>
                <w:bCs/>
                <w:color w:val="FFFFFF"/>
              </w:rPr>
              <w:t xml:space="preserve">Analytics Impact</w:t>
            </w:r>
          </w:p>
        </w:tc>
        <w:tc>
          <w:tcPr>
            <w:tcW w:type="dxa" w:w="2808"/>
            <w:tcBorders>
              <w:top w:val="single" w:color="0D47A1" w:sz="2"/>
              <w:left w:val="single" w:color="0D47A1" w:sz="2"/>
              <w:bottom w:val="single" w:color="0D47A1" w:sz="2"/>
              <w:right w:val="single" w:color="0D47A1" w:sz="2"/>
            </w:tcBorders>
            <w:shd w:fill="C62828" w:val="clear"/>
          </w:tcPr>
          <w:p>
            <w:pPr>
              <w:jc w:val="center"/>
            </w:pPr>
            <w:r>
              <w:rPr>
                <w:b/>
                <w:bCs/>
                <w:color w:val="FFFFFF"/>
              </w:rPr>
              <w:t xml:space="preserve">Source</w:t>
            </w:r>
          </w:p>
        </w:tc>
      </w:tr>
      <w:tr>
        <w:tc>
          <w:tcPr>
            <w:tcW w:type="dxa" w:w="3744"/>
            <w:tcBorders>
              <w:top w:val="single" w:color="CCCCCC" w:sz="1"/>
              <w:left w:val="single" w:color="CCCCCC" w:sz="1"/>
              <w:bottom w:val="single" w:color="CCCCCC" w:sz="1"/>
              <w:right w:val="single" w:color="CCCCCC" w:sz="1"/>
            </w:tcBorders>
          </w:tcPr>
          <w:p>
            <w:r>
              <w:t xml:space="preserve">Customer Churn Risk</w:t>
            </w:r>
          </w:p>
        </w:tc>
        <w:tc>
          <w:tcPr>
            <w:tcW w:type="dxa" w:w="2808"/>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7-30% reduction</w:t>
            </w:r>
          </w:p>
        </w:tc>
        <w:tc>
          <w:tcPr>
            <w:tcW w:type="dxa" w:w="2808"/>
            <w:tcBorders>
              <w:top w:val="single" w:color="CCCCCC" w:sz="1"/>
              <w:left w:val="single" w:color="CCCCCC" w:sz="1"/>
              <w:bottom w:val="single" w:color="CCCCCC" w:sz="1"/>
              <w:right w:val="single" w:color="CCCCCC" w:sz="1"/>
            </w:tcBorders>
          </w:tcPr>
          <w:p>
            <w:r>
              <w:t xml:space="preserve">Predictive Analytics</w:t>
            </w:r>
          </w:p>
        </w:tc>
      </w:tr>
      <w:tr>
        <w:tc>
          <w:tcPr>
            <w:tcW w:type="dxa" w:w="3744"/>
            <w:tcBorders>
              <w:top w:val="single" w:color="CCCCCC" w:sz="1"/>
              <w:left w:val="single" w:color="CCCCCC" w:sz="1"/>
              <w:bottom w:val="single" w:color="CCCCCC" w:sz="1"/>
              <w:right w:val="single" w:color="CCCCCC" w:sz="1"/>
            </w:tcBorders>
          </w:tcPr>
          <w:p>
            <w:r>
              <w:t xml:space="preserve">Catastrophe/Unexpected Losses</w:t>
            </w:r>
          </w:p>
        </w:tc>
        <w:tc>
          <w:tcPr>
            <w:tcW w:type="dxa" w:w="2808"/>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18-24% reduction</w:t>
            </w:r>
          </w:p>
        </w:tc>
        <w:tc>
          <w:tcPr>
            <w:tcW w:type="dxa" w:w="2808"/>
            <w:tcBorders>
              <w:top w:val="single" w:color="CCCCCC" w:sz="1"/>
              <w:left w:val="single" w:color="CCCCCC" w:sz="1"/>
              <w:bottom w:val="single" w:color="CCCCCC" w:sz="1"/>
              <w:right w:val="single" w:color="CCCCCC" w:sz="1"/>
            </w:tcBorders>
          </w:tcPr>
          <w:p>
            <w:r>
              <w:t xml:space="preserve">Swiss Re Institute</w:t>
            </w:r>
          </w:p>
        </w:tc>
      </w:tr>
      <w:tr>
        <w:tc>
          <w:tcPr>
            <w:tcW w:type="dxa" w:w="3744"/>
            <w:tcBorders>
              <w:top w:val="single" w:color="CCCCCC" w:sz="1"/>
              <w:left w:val="single" w:color="CCCCCC" w:sz="1"/>
              <w:bottom w:val="single" w:color="CCCCCC" w:sz="1"/>
              <w:right w:val="single" w:color="CCCCCC" w:sz="1"/>
            </w:tcBorders>
          </w:tcPr>
          <w:p>
            <w:r>
              <w:t xml:space="preserve">Equipment Failure/Downtime</w:t>
            </w:r>
          </w:p>
        </w:tc>
        <w:tc>
          <w:tcPr>
            <w:tcW w:type="dxa" w:w="2808"/>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23% service cost savings</w:t>
            </w:r>
          </w:p>
        </w:tc>
        <w:tc>
          <w:tcPr>
            <w:tcW w:type="dxa" w:w="2808"/>
            <w:tcBorders>
              <w:top w:val="single" w:color="CCCCCC" w:sz="1"/>
              <w:left w:val="single" w:color="CCCCCC" w:sz="1"/>
              <w:bottom w:val="single" w:color="CCCCCC" w:sz="1"/>
              <w:right w:val="single" w:color="CCCCCC" w:sz="1"/>
            </w:tcBorders>
          </w:tcPr>
          <w:p>
            <w:r>
              <w:t xml:space="preserve">Predictive Maintenance</w:t>
            </w:r>
          </w:p>
        </w:tc>
      </w:tr>
      <w:tr>
        <w:tc>
          <w:tcPr>
            <w:tcW w:type="dxa" w:w="3744"/>
            <w:tcBorders>
              <w:top w:val="single" w:color="CCCCCC" w:sz="1"/>
              <w:left w:val="single" w:color="CCCCCC" w:sz="1"/>
              <w:bottom w:val="single" w:color="CCCCCC" w:sz="1"/>
              <w:right w:val="single" w:color="CCCCCC" w:sz="1"/>
            </w:tcBorders>
          </w:tcPr>
          <w:p>
            <w:r>
              <w:t xml:space="preserve">Financial Performance Volatility</w:t>
            </w:r>
          </w:p>
        </w:tc>
        <w:tc>
          <w:tcPr>
            <w:tcW w:type="dxa" w:w="2808"/>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30% more stable</w:t>
            </w:r>
          </w:p>
        </w:tc>
        <w:tc>
          <w:tcPr>
            <w:tcW w:type="dxa" w:w="2808"/>
            <w:tcBorders>
              <w:top w:val="single" w:color="CCCCCC" w:sz="1"/>
              <w:left w:val="single" w:color="CCCCCC" w:sz="1"/>
              <w:bottom w:val="single" w:color="CCCCCC" w:sz="1"/>
              <w:right w:val="single" w:color="CCCCCC" w:sz="1"/>
            </w:tcBorders>
          </w:tcPr>
          <w:p>
            <w:r>
              <w:t xml:space="preserve">Swiss Re Institute</w:t>
            </w:r>
          </w:p>
        </w:tc>
      </w:tr>
      <w:tr>
        <w:tc>
          <w:tcPr>
            <w:tcW w:type="dxa" w:w="3744"/>
            <w:tcBorders>
              <w:top w:val="single" w:color="CCCCCC" w:sz="1"/>
              <w:left w:val="single" w:color="CCCCCC" w:sz="1"/>
              <w:bottom w:val="single" w:color="CCCCCC" w:sz="1"/>
              <w:right w:val="single" w:color="CCCCCC" w:sz="1"/>
            </w:tcBorders>
          </w:tcPr>
          <w:p>
            <w:r>
              <w:t xml:space="preserve">Poor Data Quality Costs</w:t>
            </w:r>
          </w:p>
        </w:tc>
        <w:tc>
          <w:tcPr>
            <w:tcW w:type="dxa" w:w="2808"/>
            <w:tcBorders>
              <w:top w:val="single" w:color="CCCCCC" w:sz="1"/>
              <w:left w:val="single" w:color="CCCCCC" w:sz="1"/>
              <w:bottom w:val="single" w:color="CCCCCC" w:sz="1"/>
              <w:right w:val="single" w:color="CCCCCC" w:sz="1"/>
            </w:tcBorders>
            <w:shd w:fill="FFEBEE" w:val="clear"/>
          </w:tcPr>
          <w:p>
            <w:pPr>
              <w:jc w:val="center"/>
            </w:pPr>
            <w:r>
              <w:rPr>
                <w:b/>
                <w:bCs/>
                <w:color w:val="C62828"/>
              </w:rPr>
              <w:t xml:space="preserve">12% revenue loss (avoided)</w:t>
            </w:r>
          </w:p>
        </w:tc>
        <w:tc>
          <w:tcPr>
            <w:tcW w:type="dxa" w:w="2808"/>
            <w:tcBorders>
              <w:top w:val="single" w:color="CCCCCC" w:sz="1"/>
              <w:left w:val="single" w:color="CCCCCC" w:sz="1"/>
              <w:bottom w:val="single" w:color="CCCCCC" w:sz="1"/>
              <w:right w:val="single" w:color="CCCCCC" w:sz="1"/>
            </w:tcBorders>
          </w:tcPr>
          <w:p>
            <w:r>
              <w:t xml:space="preserve">Industry Average</w:t>
            </w:r>
          </w:p>
        </w:tc>
      </w:tr>
      <w:tr>
        <w:tc>
          <w:tcPr>
            <w:tcW w:type="dxa" w:w="3744"/>
            <w:tcBorders>
              <w:top w:val="single" w:color="CCCCCC" w:sz="1"/>
              <w:left w:val="single" w:color="CCCCCC" w:sz="1"/>
              <w:bottom w:val="single" w:color="CCCCCC" w:sz="1"/>
              <w:right w:val="single" w:color="CCCCCC" w:sz="1"/>
            </w:tcBorders>
          </w:tcPr>
          <w:p>
            <w:r>
              <w:t xml:space="preserve">Regulatory Compliance Issues</w:t>
            </w:r>
          </w:p>
        </w:tc>
        <w:tc>
          <w:tcPr>
            <w:tcW w:type="dxa" w:w="2808"/>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75% fewer challenges</w:t>
            </w:r>
          </w:p>
        </w:tc>
        <w:tc>
          <w:tcPr>
            <w:tcW w:type="dxa" w:w="2808"/>
            <w:tcBorders>
              <w:top w:val="single" w:color="CCCCCC" w:sz="1"/>
              <w:left w:val="single" w:color="CCCCCC" w:sz="1"/>
              <w:bottom w:val="single" w:color="CCCCCC" w:sz="1"/>
              <w:right w:val="single" w:color="CCCCCC" w:sz="1"/>
            </w:tcBorders>
          </w:tcPr>
          <w:p>
            <w:r>
              <w:t xml:space="preserve">KPMG 2024</w:t>
            </w:r>
          </w:p>
        </w:tc>
      </w:tr>
    </w:tbl>
    <w:p>
      <w:pPr>
        <w:pStyle w:val="Heading2"/>
      </w:pPr>
      <w:r>
        <w:t xml:space="preserve">4.2 Competitive Advantage Metrics</w:t>
      </w:r>
    </w:p>
    <w:p>
      <w:pPr>
        <w:pStyle w:val="ListParagraph"/>
        <w:numPr>
          <w:ilvl w:val="0"/>
          <w:numId w:val="3"/>
        </w:numPr>
        <w:spacing w:before="100"/>
      </w:pPr>
      <w:r>
        <w:rPr>
          <w:b/>
          <w:bCs/>
          <w:color w:val="0D47A1"/>
        </w:rPr>
        <w:t xml:space="preserve">56%</w:t>
      </w:r>
      <w:r>
        <w:t xml:space="preserve"> of companies report faster, more effective decision-making with predictive analytics</w:t>
      </w:r>
    </w:p>
    <w:p>
      <w:pPr>
        <w:pStyle w:val="ListParagraph"/>
        <w:numPr>
          <w:ilvl w:val="0"/>
          <w:numId w:val="3"/>
        </w:numPr>
      </w:pPr>
      <w:r>
        <w:rPr>
          <w:b/>
          <w:bCs/>
          <w:color w:val="0D47A1"/>
        </w:rPr>
        <w:t xml:space="preserve">64%</w:t>
      </w:r>
      <w:r>
        <w:t xml:space="preserve"> of organizations report improved efficiency and productivity</w:t>
      </w:r>
    </w:p>
    <w:p>
      <w:pPr>
        <w:pStyle w:val="ListParagraph"/>
        <w:numPr>
          <w:ilvl w:val="0"/>
          <w:numId w:val="3"/>
        </w:numPr>
      </w:pPr>
      <w:r>
        <w:rPr>
          <w:b/>
          <w:bCs/>
          <w:color w:val="0D47A1"/>
        </w:rPr>
        <w:t xml:space="preserve">43%</w:t>
      </w:r>
      <w:r>
        <w:t xml:space="preserve"> highlight gaining competitive advantage as a major benefit</w:t>
      </w:r>
    </w:p>
    <w:p>
      <w:pPr>
        <w:pStyle w:val="ListParagraph"/>
        <w:numPr>
          <w:ilvl w:val="0"/>
          <w:numId w:val="3"/>
        </w:numPr>
      </w:pPr>
      <w:r>
        <w:rPr>
          <w:b/>
          <w:bCs/>
          <w:color w:val="0D47A1"/>
        </w:rPr>
        <w:t xml:space="preserve">46%</w:t>
      </w:r>
      <w:r>
        <w:t xml:space="preserve"> discover new business opportunities and revenue streams through analytics</w:t>
      </w:r>
    </w:p>
    <w:p>
      <w:pPr>
        <w:pStyle w:val="ListParagraph"/>
        <w:numPr>
          <w:ilvl w:val="0"/>
          <w:numId w:val="3"/>
        </w:numPr>
      </w:pPr>
      <w:r>
        <w:rPr>
          <w:b/>
          <w:bCs/>
          <w:color w:val="0D47A1"/>
        </w:rPr>
        <w:t xml:space="preserve">35%</w:t>
      </w:r>
      <w:r>
        <w:t xml:space="preserve"> faster time-to-market for new products (Gartner 2023)</w:t>
      </w:r>
    </w:p>
    <w:p>
      <w:pPr>
        <w:pStyle w:val="ListParagraph"/>
        <w:numPr>
          <w:ilvl w:val="0"/>
          <w:numId w:val="3"/>
        </w:numPr>
      </w:pPr>
      <w:r>
        <w:rPr>
          <w:b/>
          <w:bCs/>
          <w:color w:val="0D47A1"/>
        </w:rPr>
        <w:t xml:space="preserve">28%</w:t>
      </w:r>
      <w:r>
        <w:t xml:space="preserve"> more accurate pricing strategies than industry averages</w:t>
      </w:r>
    </w:p>
    <w:p>
      <w:r>
        <w:br w:type="page"/>
      </w:r>
    </w:p>
    <w:p>
      <w:pPr>
        <w:pStyle w:val="Heading1"/>
      </w:pPr>
      <w:r>
        <w:t xml:space="preserve">5. Why JLWanalytics: Delivering These Results for African Businesses</w:t>
      </w:r>
    </w:p>
    <w:p>
      <w:pPr>
        <w:shd w:fill="E3F2FD" w:val="clear"/>
        <w:spacing w:before="200"/>
      </w:pPr>
      <w:r>
        <w:rPr>
          <w:sz w:val="24"/>
          <w:szCs w:val="24"/>
        </w:rPr>
        <w:t xml:space="preserve">JLWanalytics is uniquely positioned to bring these proven data analytics benefits to African businesses. While global companies have achieved remarkable results, Africa remains vastly underserved—creating an extraordinary opportunity for both impact and returns.</w:t>
      </w:r>
    </w:p>
    <w:p>
      <w:pPr>
        <w:pStyle w:val="Heading2"/>
      </w:pPr>
      <w:r>
        <w:t xml:space="preserve">5.1 The African Opportunity Gap</w:t>
      </w:r>
    </w:p>
    <w:p>
      <w:pPr>
        <w:pStyle w:val="ListParagraph"/>
        <w:numPr>
          <w:ilvl w:val="0"/>
          <w:numId w:val="2"/>
        </w:numPr>
        <w:spacing w:before="100"/>
      </w:pPr>
      <w:r>
        <w:rPr>
          <w:b/>
          <w:bCs/>
        </w:rPr>
        <w:t xml:space="preserve">Average BI spend per employee in Africa: </w:t>
      </w:r>
      <w:r>
        <w:rPr>
          <w:color w:val="C62828"/>
        </w:rPr>
        <w:t xml:space="preserve">$0.67 (2024) — drastically below global averages</w:t>
      </w:r>
    </w:p>
    <w:p>
      <w:pPr>
        <w:pStyle w:val="ListParagraph"/>
        <w:numPr>
          <w:ilvl w:val="0"/>
          <w:numId w:val="2"/>
        </w:numPr>
      </w:pPr>
      <w:r>
        <w:rPr>
          <w:b/>
          <w:bCs/>
        </w:rPr>
        <w:t xml:space="preserve">Only 23.9%</w:t>
      </w:r>
      <w:r>
        <w:rPr>
          <w:color w:val="0D47A1"/>
        </w:rPr>
        <w:t xml:space="preserve"> of organizations globally consider themselves data-driven — even lower in Africa</w:t>
      </w:r>
    </w:p>
    <w:p>
      <w:pPr>
        <w:pStyle w:val="ListParagraph"/>
        <w:numPr>
          <w:ilvl w:val="0"/>
          <w:numId w:val="2"/>
        </w:numPr>
      </w:pPr>
      <w:r>
        <w:rPr>
          <w:b/>
          <w:bCs/>
        </w:rPr>
        <w:t xml:space="preserve">77%</w:t>
      </w:r>
      <w:r>
        <w:rPr>
          <w:color w:val="C62828"/>
        </w:rPr>
        <w:t xml:space="preserve"> of businesses lack analytics expertise — the gap we fill</w:t>
      </w:r>
    </w:p>
    <w:p>
      <w:pPr>
        <w:pStyle w:val="ListParagraph"/>
        <w:numPr>
          <w:ilvl w:val="0"/>
          <w:numId w:val="2"/>
        </w:numPr>
      </w:pPr>
      <w:r>
        <w:rPr>
          <w:b/>
          <w:bCs/>
        </w:rPr>
        <w:t xml:space="preserve">71%</w:t>
      </w:r>
      <w:r>
        <w:t xml:space="preserve"> of CDOs express concern about limited data skills in their organizations</w:t>
      </w:r>
    </w:p>
    <w:p>
      <w:pPr>
        <w:pStyle w:val="Heading2"/>
      </w:pPr>
      <w:r>
        <w:t xml:space="preserve">5.2 How JLWanalytics Delivers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47A1" w:sz="2"/>
              <w:left w:val="single" w:color="0D47A1" w:sz="2"/>
              <w:bottom w:val="single" w:color="0D47A1" w:sz="2"/>
              <w:right w:val="single" w:color="0D47A1" w:sz="2"/>
            </w:tcBorders>
            <w:shd w:fill="0D47A1" w:val="clear"/>
          </w:tcPr>
          <w:p>
            <w:pPr>
              <w:jc w:val="center"/>
            </w:pPr>
            <w:r>
              <w:rPr>
                <w:b/>
                <w:bCs/>
                <w:color w:val="FFFFFF"/>
              </w:rPr>
              <w:t xml:space="preserve">Client Challenge</w:t>
            </w:r>
          </w:p>
        </w:tc>
        <w:tc>
          <w:tcPr>
            <w:tcW w:type="dxa" w:w="4680"/>
            <w:tcBorders>
              <w:top w:val="single" w:color="0D47A1" w:sz="2"/>
              <w:left w:val="single" w:color="0D47A1" w:sz="2"/>
              <w:bottom w:val="single" w:color="0D47A1" w:sz="2"/>
              <w:right w:val="single" w:color="0D47A1" w:sz="2"/>
            </w:tcBorders>
            <w:shd w:fill="2E7D32" w:val="clear"/>
          </w:tcPr>
          <w:p>
            <w:pPr>
              <w:jc w:val="center"/>
            </w:pPr>
            <w:r>
              <w:rPr>
                <w:b/>
                <w:bCs/>
                <w:color w:val="FFFFFF"/>
              </w:rPr>
              <w:t xml:space="preserve">JLWanalytics Solution &amp; Expected Impact</w:t>
            </w:r>
          </w:p>
        </w:tc>
      </w:tr>
      <w:tr>
        <w:tc>
          <w:tcPr>
            <w:tcW w:type="dxa" w:w="4680"/>
            <w:tcBorders>
              <w:top w:val="single" w:color="CCCCCC" w:sz="1"/>
              <w:left w:val="single" w:color="CCCCCC" w:sz="1"/>
              <w:bottom w:val="single" w:color="CCCCCC" w:sz="1"/>
              <w:right w:val="single" w:color="CCCCCC" w:sz="1"/>
            </w:tcBorders>
          </w:tcPr>
          <w:p>
            <w:r>
              <w:rPr>
                <w:i/>
                <w:iCs/>
              </w:rPr>
              <w:t xml:space="preserve">"We have data but don't know what to do with it"</w:t>
            </w:r>
          </w:p>
        </w:tc>
        <w:tc>
          <w:tcPr>
            <w:tcW w:type="dxa" w:w="4680"/>
            <w:tcBorders>
              <w:top w:val="single" w:color="CCCCCC" w:sz="1"/>
              <w:left w:val="single" w:color="CCCCCC" w:sz="1"/>
              <w:bottom w:val="single" w:color="CCCCCC" w:sz="1"/>
              <w:right w:val="single" w:color="CCCCCC" w:sz="1"/>
            </w:tcBorders>
          </w:tcPr>
          <w:p>
            <w:r>
              <w:rPr>
                <w:b/>
                <w:bCs/>
              </w:rPr>
              <w:t xml:space="preserve">Descriptive Analytics + Dashboards</w:t>
            </w:r>
            <w:r>
              <w:t xml:space="preserve">
→ 5x faster decision-making</w:t>
            </w:r>
          </w:p>
        </w:tc>
      </w:tr>
      <w:tr>
        <w:tc>
          <w:tcPr>
            <w:tcW w:type="dxa" w:w="4680"/>
            <w:tcBorders>
              <w:top w:val="single" w:color="CCCCCC" w:sz="1"/>
              <w:left w:val="single" w:color="CCCCCC" w:sz="1"/>
              <w:bottom w:val="single" w:color="CCCCCC" w:sz="1"/>
              <w:right w:val="single" w:color="CCCCCC" w:sz="1"/>
            </w:tcBorders>
          </w:tcPr>
          <w:p>
            <w:r>
              <w:rPr>
                <w:i/>
                <w:iCs/>
              </w:rPr>
              <w:t xml:space="preserve">"We're losing customers and don't know why"</w:t>
            </w:r>
          </w:p>
        </w:tc>
        <w:tc>
          <w:tcPr>
            <w:tcW w:type="dxa" w:w="4680"/>
            <w:tcBorders>
              <w:top w:val="single" w:color="CCCCCC" w:sz="1"/>
              <w:left w:val="single" w:color="CCCCCC" w:sz="1"/>
              <w:bottom w:val="single" w:color="CCCCCC" w:sz="1"/>
              <w:right w:val="single" w:color="CCCCCC" w:sz="1"/>
            </w:tcBorders>
          </w:tcPr>
          <w:p>
            <w:r>
              <w:rPr>
                <w:b/>
                <w:bCs/>
              </w:rPr>
              <w:t xml:space="preserve">Churn Prediction Models</w:t>
            </w:r>
            <w:r>
              <w:t xml:space="preserve">
→ 7-30% churn reduction, 775% ROI</w:t>
            </w:r>
          </w:p>
        </w:tc>
      </w:tr>
      <w:tr>
        <w:tc>
          <w:tcPr>
            <w:tcW w:type="dxa" w:w="4680"/>
            <w:tcBorders>
              <w:top w:val="single" w:color="CCCCCC" w:sz="1"/>
              <w:left w:val="single" w:color="CCCCCC" w:sz="1"/>
              <w:bottom w:val="single" w:color="CCCCCC" w:sz="1"/>
              <w:right w:val="single" w:color="CCCCCC" w:sz="1"/>
            </w:tcBorders>
          </w:tcPr>
          <w:p>
            <w:r>
              <w:rPr>
                <w:i/>
                <w:iCs/>
              </w:rPr>
              <w:t xml:space="preserve">"We can't predict demand or inventory needs"</w:t>
            </w:r>
          </w:p>
        </w:tc>
        <w:tc>
          <w:tcPr>
            <w:tcW w:type="dxa" w:w="4680"/>
            <w:tcBorders>
              <w:top w:val="single" w:color="CCCCCC" w:sz="1"/>
              <w:left w:val="single" w:color="CCCCCC" w:sz="1"/>
              <w:bottom w:val="single" w:color="CCCCCC" w:sz="1"/>
              <w:right w:val="single" w:color="CCCCCC" w:sz="1"/>
            </w:tcBorders>
          </w:tcPr>
          <w:p>
            <w:r>
              <w:rPr>
                <w:b/>
                <w:bCs/>
              </w:rPr>
              <w:t xml:space="preserve">ML Demand Forecasting</w:t>
            </w:r>
            <w:r>
              <w:t xml:space="preserve">
→ 20% inventory cost reduction</w:t>
            </w:r>
          </w:p>
        </w:tc>
      </w:tr>
      <w:tr>
        <w:tc>
          <w:tcPr>
            <w:tcW w:type="dxa" w:w="4680"/>
            <w:tcBorders>
              <w:top w:val="single" w:color="CCCCCC" w:sz="1"/>
              <w:left w:val="single" w:color="CCCCCC" w:sz="1"/>
              <w:bottom w:val="single" w:color="CCCCCC" w:sz="1"/>
              <w:right w:val="single" w:color="CCCCCC" w:sz="1"/>
            </w:tcBorders>
          </w:tcPr>
          <w:p>
            <w:r>
              <w:rPr>
                <w:i/>
                <w:iCs/>
              </w:rPr>
              <w:t xml:space="preserve">"Our pricing is based on guesswork"</w:t>
            </w:r>
          </w:p>
        </w:tc>
        <w:tc>
          <w:tcPr>
            <w:tcW w:type="dxa" w:w="4680"/>
            <w:tcBorders>
              <w:top w:val="single" w:color="CCCCCC" w:sz="1"/>
              <w:left w:val="single" w:color="CCCCCC" w:sz="1"/>
              <w:bottom w:val="single" w:color="CCCCCC" w:sz="1"/>
              <w:right w:val="single" w:color="CCCCCC" w:sz="1"/>
            </w:tcBorders>
          </w:tcPr>
          <w:p>
            <w:r>
              <w:rPr>
                <w:b/>
                <w:bCs/>
              </w:rPr>
              <w:t xml:space="preserve">Dynamic Pricing Analytics</w:t>
            </w:r>
            <w:r>
              <w:t xml:space="preserve">
→ 10-15% profit margin increase</w:t>
            </w:r>
          </w:p>
        </w:tc>
      </w:tr>
      <w:tr>
        <w:tc>
          <w:tcPr>
            <w:tcW w:type="dxa" w:w="4680"/>
            <w:tcBorders>
              <w:top w:val="single" w:color="CCCCCC" w:sz="1"/>
              <w:left w:val="single" w:color="CCCCCC" w:sz="1"/>
              <w:bottom w:val="single" w:color="CCCCCC" w:sz="1"/>
              <w:right w:val="single" w:color="CCCCCC" w:sz="1"/>
            </w:tcBorders>
          </w:tcPr>
          <w:p>
            <w:r>
              <w:rPr>
                <w:i/>
                <w:iCs/>
              </w:rPr>
              <w:t xml:space="preserve">"We're still on paper and spreadsheets"</w:t>
            </w:r>
          </w:p>
        </w:tc>
        <w:tc>
          <w:tcPr>
            <w:tcW w:type="dxa" w:w="4680"/>
            <w:tcBorders>
              <w:top w:val="single" w:color="CCCCCC" w:sz="1"/>
              <w:left w:val="single" w:color="CCCCCC" w:sz="1"/>
              <w:bottom w:val="single" w:color="CCCCCC" w:sz="1"/>
              <w:right w:val="single" w:color="CCCCCC" w:sz="1"/>
            </w:tcBorders>
          </w:tcPr>
          <w:p>
            <w:r>
              <w:rPr>
                <w:b/>
                <w:bCs/>
              </w:rPr>
              <w:t xml:space="preserve">Data Digitalization + BI</w:t>
            </w:r>
            <w:r>
              <w:t xml:space="preserve">
→ 127% ROI within 3 years</w:t>
            </w:r>
          </w:p>
        </w:tc>
      </w:tr>
      <w:tr>
        <w:tc>
          <w:tcPr>
            <w:tcW w:type="dxa" w:w="4680"/>
            <w:tcBorders>
              <w:top w:val="single" w:color="CCCCCC" w:sz="1"/>
              <w:left w:val="single" w:color="CCCCCC" w:sz="1"/>
              <w:bottom w:val="single" w:color="CCCCCC" w:sz="1"/>
              <w:right w:val="single" w:color="CCCCCC" w:sz="1"/>
            </w:tcBorders>
          </w:tcPr>
          <w:p>
            <w:r>
              <w:rPr>
                <w:i/>
                <w:iCs/>
              </w:rPr>
              <w:t xml:space="preserve">"Our staff lacks data skills"</w:t>
            </w:r>
          </w:p>
        </w:tc>
        <w:tc>
          <w:tcPr>
            <w:tcW w:type="dxa" w:w="4680"/>
            <w:tcBorders>
              <w:top w:val="single" w:color="CCCCCC" w:sz="1"/>
              <w:left w:val="single" w:color="CCCCCC" w:sz="1"/>
              <w:bottom w:val="single" w:color="CCCCCC" w:sz="1"/>
              <w:right w:val="single" w:color="CCCCCC" w:sz="1"/>
            </w:tcBorders>
          </w:tcPr>
          <w:p>
            <w:r>
              <w:rPr>
                <w:b/>
                <w:bCs/>
              </w:rPr>
              <w:t xml:space="preserve">JLWanalytics Academy Training</w:t>
            </w:r>
            <w:r>
              <w:t xml:space="preserve">
→ 40% productivity boost</w:t>
            </w:r>
          </w:p>
        </w:tc>
      </w:tr>
    </w:tbl>
    <w:p>
      <w:pPr>
        <w:pStyle w:val="Heading2"/>
      </w:pPr>
      <w:r>
        <w:t xml:space="preserve">5.3 Our Technology Stack Advantage</w:t>
      </w:r>
    </w:p>
    <w:p>
      <w:pPr>
        <w:spacing w:before="100"/>
      </w:pPr>
      <w:r>
        <w:t xml:space="preserve">JLWanalytics leverages the world's leading BI platforms to deliver enterprise-grade results at African-accessible prices:</w:t>
      </w:r>
    </w:p>
    <w:p>
      <w:pPr>
        <w:pStyle w:val="ListParagraph"/>
        <w:numPr>
          <w:ilvl w:val="0"/>
          <w:numId w:val="2"/>
        </w:numPr>
      </w:pPr>
      <w:r>
        <w:rPr>
          <w:b/>
          <w:bCs/>
        </w:rPr>
        <w:t xml:space="preserve">Yellowfin </w:t>
      </w:r>
      <w:r>
        <w:t xml:space="preserve">(Australia, $25-100M revenue) — Embedded analytics, storytelling, AI anomaly detection</w:t>
      </w:r>
    </w:p>
    <w:p>
      <w:pPr>
        <w:pStyle w:val="ListParagraph"/>
        <w:numPr>
          <w:ilvl w:val="0"/>
          <w:numId w:val="2"/>
        </w:numPr>
      </w:pPr>
      <w:r>
        <w:rPr>
          <w:b/>
          <w:bCs/>
        </w:rPr>
        <w:t xml:space="preserve">Metabase </w:t>
      </w:r>
      <w:r>
        <w:t xml:space="preserve">(USA, Open Source) — Free tier, perfect for SMEs, no SQL required</w:t>
      </w:r>
    </w:p>
    <w:p>
      <w:pPr>
        <w:pStyle w:val="ListParagraph"/>
        <w:numPr>
          <w:ilvl w:val="0"/>
          <w:numId w:val="2"/>
        </w:numPr>
      </w:pPr>
      <w:r>
        <w:rPr>
          <w:b/>
          <w:bCs/>
        </w:rPr>
        <w:t xml:space="preserve">Apache Superset </w:t>
      </w:r>
      <w:r>
        <w:t xml:space="preserve">(Apache Foundation) — 100% open source, handles billions of rows</w:t>
      </w:r>
    </w:p>
    <w:p>
      <w:pPr>
        <w:pStyle w:val="ListParagraph"/>
        <w:numPr>
          <w:ilvl w:val="0"/>
          <w:numId w:val="2"/>
        </w:numPr>
      </w:pPr>
      <w:r>
        <w:rPr>
          <w:b/>
          <w:bCs/>
        </w:rPr>
        <w:t xml:space="preserve">Grafana </w:t>
      </w:r>
      <w:r>
        <w:t xml:space="preserve">($270M ARR, $6B valuation) — Real-time monitoring, generous free tier</w:t>
      </w:r>
    </w:p>
    <w:p>
      <w:pPr>
        <w:pStyle w:val="ListParagraph"/>
        <w:numPr>
          <w:ilvl w:val="0"/>
          <w:numId w:val="2"/>
        </w:numPr>
      </w:pPr>
      <w:r>
        <w:rPr>
          <w:b/>
          <w:bCs/>
        </w:rPr>
        <w:t xml:space="preserve">Sisense </w:t>
      </w:r>
      <w:r>
        <w:t xml:space="preserve">(USA/Israel, $184.8M revenue) — AI/ML analytics, massive dataset handling</w:t>
      </w:r>
    </w:p>
    <w:p>
      <w:pPr>
        <w:pStyle w:val="ListParagraph"/>
        <w:numPr>
          <w:ilvl w:val="0"/>
          <w:numId w:val="2"/>
        </w:numPr>
      </w:pPr>
      <w:r>
        <w:rPr>
          <w:b/>
          <w:bCs/>
        </w:rPr>
        <w:t xml:space="preserve">Google Looker </w:t>
      </w:r>
      <w:r>
        <w:t xml:space="preserve">($2.6B acquisition) — Semantic layer, Gemini AI, free Looker Studio</w:t>
      </w:r>
    </w:p>
    <w:p>
      <w:r>
        <w:br w:type="page"/>
      </w:r>
    </w:p>
    <w:p>
      <w:pPr>
        <w:pStyle w:val="Heading1"/>
      </w:pPr>
      <w:r>
        <w:t xml:space="preserve">6. Investment Summary &amp; Value Proposition</w:t>
      </w:r>
    </w:p>
    <w:p>
      <w:pPr>
        <w:spacing w:before="200"/>
        <w:jc w:val="center"/>
      </w:pPr>
      <w:r>
        <w:rPr>
          <w:b/>
          <w:bCs/>
          <w:color w:val="0D47A1"/>
          <w:sz w:val="28"/>
          <w:szCs w:val="28"/>
        </w:rPr>
        <w:t xml:space="preserve">THE OPPORTUNITY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Pr>
          <w:p>
            <w:pPr>
              <w:jc w:val="center"/>
            </w:pPr>
            <w:r>
              <w:rPr>
                <w:b/>
                <w:bCs/>
                <w:color w:val="333333"/>
                <w:sz w:val="20"/>
                <w:szCs w:val="20"/>
              </w:rPr>
              <w:t xml:space="preserve">GLOBAL MARKET</w:t>
            </w:r>
          </w:p>
          <w:p>
            <w:pPr>
              <w:jc w:val="center"/>
            </w:pPr>
            <w:r>
              <w:rPr>
                <w:b/>
                <w:bCs/>
                <w:color w:val="2E7D32"/>
                <w:sz w:val="40"/>
                <w:szCs w:val="40"/>
              </w:rPr>
              <w:t xml:space="preserve">$658 Billion</w:t>
            </w:r>
          </w:p>
          <w:p>
            <w:pPr>
              <w:jc w:val="center"/>
            </w:pPr>
            <w:r>
              <w:rPr>
                <w:color w:val="666666"/>
                <w:sz w:val="20"/>
                <w:szCs w:val="20"/>
              </w:rPr>
              <w:t xml:space="preserve">by 2034</w:t>
            </w:r>
          </w:p>
        </w:tc>
        <w:tc>
          <w:tcPr>
            <w:tcW w:type="dxa" w:w="4680"/>
            <w:tcBorders>
              <w:top w:val="single" w:color="CCCCCC" w:sz="1"/>
              <w:left w:val="single" w:color="CCCCCC" w:sz="1"/>
              <w:bottom w:val="single" w:color="CCCCCC" w:sz="1"/>
              <w:right w:val="single" w:color="CCCCCC" w:sz="1"/>
            </w:tcBorders>
            <w:shd w:fill="FFF3E0" w:val="clear"/>
          </w:tcPr>
          <w:p>
            <w:pPr>
              <w:jc w:val="center"/>
            </w:pPr>
            <w:r>
              <w:rPr>
                <w:b/>
                <w:bCs/>
                <w:color w:val="333333"/>
                <w:sz w:val="20"/>
                <w:szCs w:val="20"/>
              </w:rPr>
              <w:t xml:space="preserve">AFRICA MARKET</w:t>
            </w:r>
          </w:p>
          <w:p>
            <w:pPr>
              <w:jc w:val="center"/>
            </w:pPr>
            <w:r>
              <w:rPr>
                <w:b/>
                <w:bCs/>
                <w:color w:val="FF6F00"/>
                <w:sz w:val="40"/>
                <w:szCs w:val="40"/>
              </w:rPr>
              <w:t xml:space="preserve">$500 Million</w:t>
            </w:r>
          </w:p>
          <w:p>
            <w:pPr>
              <w:jc w:val="center"/>
            </w:pPr>
            <w:r>
              <w:rPr>
                <w:color w:val="666666"/>
                <w:sz w:val="20"/>
                <w:szCs w:val="20"/>
              </w:rPr>
              <w:t xml:space="preserve">by 2029 (8% CAGR)</w:t>
            </w:r>
          </w:p>
        </w:tc>
      </w:tr>
    </w:tbl>
    <w:p>
      <w:pPr>
        <w:spacing w:before="400"/>
        <w:jc w:val="center"/>
      </w:pPr>
      <w:r>
        <w:rPr>
          <w:b/>
          <w:bCs/>
          <w:color w:val="0D47A1"/>
          <w:sz w:val="24"/>
          <w:szCs w:val="24"/>
        </w:rPr>
        <w:t xml:space="preserve">KEY TAKEAWAYS FOR INVESTORS &amp; PARTNERS</w:t>
      </w:r>
    </w:p>
    <w:p>
      <w:pPr>
        <w:pStyle w:val="ListParagraph"/>
        <w:numPr>
          <w:ilvl w:val="0"/>
          <w:numId w:val="4"/>
        </w:numPr>
        <w:spacing w:before="200"/>
      </w:pPr>
      <w:r>
        <w:rPr>
          <w:b/>
          <w:bCs/>
          <w:color w:val="2E7D32"/>
        </w:rPr>
        <w:t xml:space="preserve">Proven ROI: </w:t>
      </w:r>
      <w:r>
        <w:t xml:space="preserve">Data analytics delivers 127-775% ROI across industries globally</w:t>
      </w:r>
    </w:p>
    <w:p>
      <w:pPr>
        <w:pStyle w:val="ListParagraph"/>
        <w:numPr>
          <w:ilvl w:val="0"/>
          <w:numId w:val="4"/>
        </w:numPr>
      </w:pPr>
      <w:r>
        <w:rPr>
          <w:b/>
          <w:bCs/>
          <w:color w:val="2E7D32"/>
        </w:rPr>
        <w:t xml:space="preserve">Massive Underserved Market: </w:t>
      </w:r>
      <w:r>
        <w:t xml:space="preserve">Africa's $0.67/employee BI spend vs. global averages represents enormous growth potential</w:t>
      </w:r>
    </w:p>
    <w:p>
      <w:pPr>
        <w:pStyle w:val="ListParagraph"/>
        <w:numPr>
          <w:ilvl w:val="0"/>
          <w:numId w:val="4"/>
        </w:numPr>
      </w:pPr>
      <w:r>
        <w:rPr>
          <w:b/>
          <w:bCs/>
          <w:color w:val="2E7D32"/>
        </w:rPr>
        <w:t xml:space="preserve">Competitive Moat: </w:t>
      </w:r>
      <w:r>
        <w:t xml:space="preserve">23x customer acquisition, 19x profitability advantage for data-driven organizations</w:t>
      </w:r>
    </w:p>
    <w:p>
      <w:pPr>
        <w:pStyle w:val="ListParagraph"/>
        <w:numPr>
          <w:ilvl w:val="0"/>
          <w:numId w:val="4"/>
        </w:numPr>
      </w:pPr>
      <w:r>
        <w:rPr>
          <w:b/>
          <w:bCs/>
          <w:color w:val="2E7D32"/>
        </w:rPr>
        <w:t xml:space="preserve">Risk Reduction: </w:t>
      </w:r>
      <w:r>
        <w:t xml:space="preserve">18-30% reduction in business risks, 75% fewer compliance issues</w:t>
      </w:r>
    </w:p>
    <w:p>
      <w:pPr>
        <w:pStyle w:val="ListParagraph"/>
        <w:numPr>
          <w:ilvl w:val="0"/>
          <w:numId w:val="4"/>
        </w:numPr>
      </w:pPr>
      <w:r>
        <w:rPr>
          <w:b/>
          <w:bCs/>
          <w:color w:val="2E7D32"/>
        </w:rPr>
        <w:t xml:space="preserve">Local Expertise: </w:t>
      </w:r>
      <w:r>
        <w:t xml:space="preserve">JLWanalytics bridges global technology with African market understanding</w:t>
      </w:r>
    </w:p>
    <w:p>
      <w:pPr>
        <w:shd w:fill="E3F2FD" w:val="clear"/>
        <w:spacing w:before="400"/>
        <w:jc w:val="center"/>
      </w:pPr>
      <w:r>
        <w:rPr>
          <w:b/>
          <w:bCs/>
          <w:color w:val="0D47A1"/>
          <w:sz w:val="24"/>
          <w:szCs w:val="24"/>
        </w:rPr>
        <w:t xml:space="preserve">CONTACT</w:t>
      </w:r>
      <w:r>
        <w:rPr>
          <w:b/>
          <w:bCs/>
          <w:sz w:val="28"/>
          <w:szCs w:val="28"/>
        </w:rPr>
        <w:t xml:space="preserve">
Jonathan Lukwichi</w:t>
      </w:r>
      <w:r>
        <w:rPr>
          <w:sz w:val="22"/>
          <w:szCs w:val="22"/>
        </w:rPr>
        <w:t xml:space="preserve">
Founder &amp; CEO, JLWanalytics</w:t>
      </w:r>
      <w:r>
        <w:rPr>
          <w:sz w:val="22"/>
          <w:szCs w:val="22"/>
        </w:rPr>
        <w:t xml:space="preserve">
📧 jonathanlukwichi29@gmail.com</w:t>
      </w:r>
      <w:r>
        <w:rPr>
          <w:sz w:val="22"/>
          <w:szCs w:val="22"/>
        </w:rPr>
        <w:t xml:space="preserve">
📱 +27 84 731 4600</w:t>
      </w:r>
      <w:r>
        <w:rPr>
          <w:sz w:val="22"/>
          <w:szCs w:val="22"/>
        </w:rPr>
        <w:t xml:space="preserve">
📍 South Africa</w:t>
      </w:r>
    </w:p>
    <w:p>
      <w:pPr>
        <w:spacing w:before="400"/>
        <w:jc w:val="center"/>
      </w:pPr>
      <w:r>
        <w:rPr>
          <w:color w:val="FF6F00"/>
          <w:sz w:val="28"/>
          <w:szCs w:val="28"/>
        </w:rPr>
        <w:t xml:space="preserve">━━━━━━━━━━━━━━━━━━━━━━━━━━━━━━━━━━━━━━━━━━━━━━━</w:t>
      </w:r>
    </w:p>
    <w:p>
      <w:pPr>
        <w:spacing w:before="200"/>
        <w:jc w:val="center"/>
      </w:pPr>
      <w:r>
        <w:rPr>
          <w:b/>
          <w:bCs/>
          <w:i/>
          <w:iCs/>
          <w:color w:val="0D47A1"/>
          <w:sz w:val="26"/>
          <w:szCs w:val="26"/>
        </w:rPr>
        <w:t xml:space="preserve">"Data is the new oil, and Africa is ready to refine it."</w:t>
      </w:r>
    </w:p>
    <w:p>
      <w:pPr>
        <w:jc w:val="center"/>
      </w:pPr>
      <w:r>
        <w:rPr>
          <w:i/>
          <w:iCs/>
          <w:color w:val="666666"/>
          <w:sz w:val="22"/>
          <w:szCs w:val="22"/>
        </w:rPr>
        <w:t xml:space="preserve">JLWanalytics — Turning Data into Decisions. Insights into Impact.</w:t>
      </w:r>
    </w:p>
    <w:p>
      <w:pPr>
        <w:spacing w:before="400"/>
        <w:jc w:val="center"/>
      </w:pPr>
      <w:r>
        <w:rPr>
          <w:color w:val="888888"/>
          <w:sz w:val="18"/>
          <w:szCs w:val="18"/>
        </w:rPr>
        <w:t xml:space="preserve">© 2025 JLWanalytics (Pty) Ltd. All Rights Reserved. Confidential Investment Document.</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Confidential Investment Document |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JLWanalytics | The Data Analytics Impact Report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D47A1"/>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0D47A1"/>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00695C"/>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33333"/>
      <w:sz w:val="24"/>
      <w:szCs w:val="24"/>
    </w:rPr>
  </w:style>
  <w:style w:type="paragraph" w:styleId="Subtitle">
    <w:name w:val="Subtitle"/>
    <w:basedOn w:val="Normal"/>
    <w:pPr>
      <w:spacing w:before="120" w:after="360"/>
      <w:jc w:val="center"/>
    </w:pPr>
    <w:rPr>
      <w:rFonts w:ascii="Arial" w:cs="Arial" w:eastAsia="Arial" w:hAnsi="Arial"/>
      <w:i/>
      <w:iCs/>
      <w:color w:val="55555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2025-12-24T13:58:37.228Z</dcterms:created>
  <dcterms:modified xsi:type="dcterms:W3CDTF">2025-12-24T13:58:37.229Z</dcterms:modified>
</cp:coreProperties>
</file>

<file path=docProps/custom.xml><?xml version="1.0" encoding="utf-8"?>
<Properties xmlns="http://schemas.openxmlformats.org/officeDocument/2006/custom-properties" xmlns:vt="http://schemas.openxmlformats.org/officeDocument/2006/docPropsVTypes"/>
</file>