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445" w:rsidRPr="001F5445" w:rsidRDefault="001F5445" w:rsidP="001F544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F5445">
        <w:rPr>
          <w:rFonts w:ascii="Times New Roman" w:eastAsia="Times New Roman" w:hAnsi="Times New Roman" w:cs="Times New Roman"/>
          <w:b/>
          <w:bCs/>
          <w:kern w:val="36"/>
          <w:sz w:val="48"/>
          <w:szCs w:val="48"/>
        </w:rPr>
        <w:fldChar w:fldCharType="begin"/>
      </w:r>
      <w:r w:rsidRPr="001F5445">
        <w:rPr>
          <w:rFonts w:ascii="Times New Roman" w:eastAsia="Times New Roman" w:hAnsi="Times New Roman" w:cs="Times New Roman"/>
          <w:b/>
          <w:bCs/>
          <w:kern w:val="36"/>
          <w:sz w:val="48"/>
          <w:szCs w:val="48"/>
        </w:rPr>
        <w:instrText xml:space="preserve"> HYPERLINK "http://www.voxeu.org/" \o "Home" </w:instrText>
      </w:r>
      <w:r w:rsidRPr="001F5445">
        <w:rPr>
          <w:rFonts w:ascii="Times New Roman" w:eastAsia="Times New Roman" w:hAnsi="Times New Roman" w:cs="Times New Roman"/>
          <w:b/>
          <w:bCs/>
          <w:kern w:val="36"/>
          <w:sz w:val="48"/>
          <w:szCs w:val="48"/>
        </w:rPr>
        <w:fldChar w:fldCharType="separate"/>
      </w:r>
      <w:r w:rsidRPr="001F5445">
        <w:rPr>
          <w:rFonts w:ascii="Times New Roman" w:eastAsia="Times New Roman" w:hAnsi="Times New Roman" w:cs="Times New Roman"/>
          <w:b/>
          <w:bCs/>
          <w:color w:val="0000FF"/>
          <w:kern w:val="36"/>
          <w:sz w:val="48"/>
          <w:szCs w:val="48"/>
          <w:u w:val="single"/>
        </w:rPr>
        <w:t>VOX</w:t>
      </w:r>
      <w:proofErr w:type="gramStart"/>
      <w:r w:rsidRPr="001F5445">
        <w:rPr>
          <w:rFonts w:ascii="Times New Roman" w:eastAsia="Times New Roman" w:hAnsi="Times New Roman" w:cs="Times New Roman"/>
          <w:b/>
          <w:bCs/>
          <w:color w:val="0000FF"/>
          <w:kern w:val="36"/>
          <w:sz w:val="48"/>
          <w:szCs w:val="48"/>
          <w:u w:val="single"/>
        </w:rPr>
        <w:t>  CEPR's</w:t>
      </w:r>
      <w:proofErr w:type="gramEnd"/>
      <w:r w:rsidRPr="001F5445">
        <w:rPr>
          <w:rFonts w:ascii="Times New Roman" w:eastAsia="Times New Roman" w:hAnsi="Times New Roman" w:cs="Times New Roman"/>
          <w:b/>
          <w:bCs/>
          <w:color w:val="0000FF"/>
          <w:kern w:val="36"/>
          <w:sz w:val="48"/>
          <w:szCs w:val="48"/>
          <w:u w:val="single"/>
        </w:rPr>
        <w:t xml:space="preserve"> Policy Portal</w:t>
      </w:r>
      <w:r w:rsidRPr="001F5445">
        <w:rPr>
          <w:rFonts w:ascii="Times New Roman" w:eastAsia="Times New Roman" w:hAnsi="Times New Roman" w:cs="Times New Roman"/>
          <w:b/>
          <w:bCs/>
          <w:kern w:val="36"/>
          <w:sz w:val="48"/>
          <w:szCs w:val="48"/>
        </w:rPr>
        <w:fldChar w:fldCharType="end"/>
      </w:r>
    </w:p>
    <w:p w:rsidR="001F5445" w:rsidRPr="001F5445" w:rsidRDefault="001F5445" w:rsidP="001F5445">
      <w:pPr>
        <w:spacing w:before="100" w:beforeAutospacing="1" w:after="100" w:afterAutospacing="1" w:line="240" w:lineRule="auto"/>
        <w:rPr>
          <w:rFonts w:ascii="Times New Roman" w:eastAsia="Times New Roman" w:hAnsi="Times New Roman" w:cs="Times New Roman"/>
          <w:sz w:val="24"/>
          <w:szCs w:val="24"/>
        </w:rPr>
      </w:pPr>
      <w:r w:rsidRPr="001F5445">
        <w:rPr>
          <w:rFonts w:ascii="Times New Roman" w:eastAsia="Times New Roman" w:hAnsi="Times New Roman" w:cs="Times New Roman"/>
          <w:sz w:val="24"/>
          <w:szCs w:val="24"/>
        </w:rPr>
        <w:t>Research-based policy analysis and commentary from leading economists</w:t>
      </w:r>
    </w:p>
    <w:p w:rsidR="001F5445" w:rsidRPr="001F5445" w:rsidRDefault="001F5445" w:rsidP="001F5445">
      <w:pPr>
        <w:spacing w:before="100" w:beforeAutospacing="1" w:after="100" w:afterAutospacing="1" w:line="240" w:lineRule="auto"/>
        <w:outlineLvl w:val="1"/>
        <w:rPr>
          <w:rFonts w:ascii="Times New Roman" w:eastAsia="Times New Roman" w:hAnsi="Times New Roman" w:cs="Times New Roman"/>
          <w:b/>
          <w:bCs/>
          <w:kern w:val="36"/>
          <w:sz w:val="48"/>
          <w:szCs w:val="48"/>
        </w:rPr>
      </w:pPr>
      <w:r w:rsidRPr="001F5445">
        <w:rPr>
          <w:rFonts w:ascii="Times New Roman" w:eastAsia="Times New Roman" w:hAnsi="Times New Roman" w:cs="Times New Roman"/>
          <w:b/>
          <w:bCs/>
          <w:kern w:val="36"/>
          <w:sz w:val="48"/>
          <w:szCs w:val="48"/>
        </w:rPr>
        <w:t xml:space="preserve">Taxing the 1%: Why the top tax rate could be over 80% </w:t>
      </w:r>
    </w:p>
    <w:p w:rsidR="001F5445" w:rsidRPr="001F5445" w:rsidRDefault="001F5445" w:rsidP="001F5445">
      <w:pPr>
        <w:spacing w:before="100" w:beforeAutospacing="1" w:after="100" w:afterAutospacing="1" w:line="240" w:lineRule="auto"/>
        <w:rPr>
          <w:rFonts w:ascii="Times New Roman" w:eastAsia="Times New Roman" w:hAnsi="Times New Roman" w:cs="Times New Roman"/>
          <w:sz w:val="24"/>
          <w:szCs w:val="24"/>
        </w:rPr>
      </w:pPr>
      <w:r w:rsidRPr="001F5445">
        <w:rPr>
          <w:rFonts w:ascii="Times New Roman" w:eastAsia="Times New Roman" w:hAnsi="Times New Roman" w:cs="Times New Roman"/>
          <w:b/>
          <w:bCs/>
          <w:sz w:val="24"/>
          <w:szCs w:val="24"/>
        </w:rPr>
        <w:t xml:space="preserve">Thomas Piketty, Emmanuel </w:t>
      </w:r>
      <w:proofErr w:type="spellStart"/>
      <w:r w:rsidRPr="001F5445">
        <w:rPr>
          <w:rFonts w:ascii="Times New Roman" w:eastAsia="Times New Roman" w:hAnsi="Times New Roman" w:cs="Times New Roman"/>
          <w:b/>
          <w:bCs/>
          <w:sz w:val="24"/>
          <w:szCs w:val="24"/>
        </w:rPr>
        <w:t>Saez</w:t>
      </w:r>
      <w:proofErr w:type="spellEnd"/>
      <w:r w:rsidRPr="001F5445">
        <w:rPr>
          <w:rFonts w:ascii="Times New Roman" w:eastAsia="Times New Roman" w:hAnsi="Times New Roman" w:cs="Times New Roman"/>
          <w:b/>
          <w:bCs/>
          <w:sz w:val="24"/>
          <w:szCs w:val="24"/>
        </w:rPr>
        <w:t xml:space="preserve">, Stefanie </w:t>
      </w:r>
      <w:proofErr w:type="spellStart"/>
      <w:r w:rsidRPr="001F5445">
        <w:rPr>
          <w:rFonts w:ascii="Times New Roman" w:eastAsia="Times New Roman" w:hAnsi="Times New Roman" w:cs="Times New Roman"/>
          <w:b/>
          <w:bCs/>
          <w:sz w:val="24"/>
          <w:szCs w:val="24"/>
        </w:rPr>
        <w:t>Stantcheva</w:t>
      </w:r>
      <w:proofErr w:type="spellEnd"/>
      <w:r w:rsidRPr="001F5445">
        <w:rPr>
          <w:rFonts w:ascii="Times New Roman" w:eastAsia="Times New Roman" w:hAnsi="Times New Roman" w:cs="Times New Roman"/>
          <w:sz w:val="24"/>
          <w:szCs w:val="24"/>
        </w:rPr>
        <w:t xml:space="preserve"> 08 December 2011 </w:t>
      </w:r>
    </w:p>
    <w:p w:rsidR="001F5445" w:rsidRPr="001F5445" w:rsidRDefault="001F5445" w:rsidP="001F5445">
      <w:pPr>
        <w:spacing w:before="100" w:beforeAutospacing="1" w:after="100" w:afterAutospacing="1" w:line="240" w:lineRule="auto"/>
        <w:rPr>
          <w:rFonts w:ascii="Times New Roman" w:eastAsia="Times New Roman" w:hAnsi="Times New Roman" w:cs="Times New Roman"/>
          <w:sz w:val="24"/>
          <w:szCs w:val="24"/>
        </w:rPr>
      </w:pPr>
      <w:r w:rsidRPr="001F5445">
        <w:rPr>
          <w:rFonts w:ascii="Times New Roman" w:eastAsia="Times New Roman" w:hAnsi="Times New Roman" w:cs="Times New Roman"/>
          <w:sz w:val="24"/>
          <w:szCs w:val="24"/>
        </w:rPr>
        <w:t xml:space="preserve">The top 1% of US earners now </w:t>
      </w:r>
      <w:proofErr w:type="gramStart"/>
      <w:r w:rsidRPr="001F5445">
        <w:rPr>
          <w:rFonts w:ascii="Times New Roman" w:eastAsia="Times New Roman" w:hAnsi="Times New Roman" w:cs="Times New Roman"/>
          <w:sz w:val="24"/>
          <w:szCs w:val="24"/>
        </w:rPr>
        <w:t>command</w:t>
      </w:r>
      <w:proofErr w:type="gramEnd"/>
      <w:r w:rsidRPr="001F5445">
        <w:rPr>
          <w:rFonts w:ascii="Times New Roman" w:eastAsia="Times New Roman" w:hAnsi="Times New Roman" w:cs="Times New Roman"/>
          <w:sz w:val="24"/>
          <w:szCs w:val="24"/>
        </w:rPr>
        <w:t xml:space="preserve"> a far higher share of the country's income than they did 40 years ago. This column looks at 18 OECD countries and disputes the claim that low taxes on the rich raise productivity and economic growth. It says the optimal top tax rate could be over 80% and no one but the mega rich would lose out.</w:t>
      </w:r>
    </w:p>
    <w:p w:rsidR="001F5445" w:rsidRPr="001F5445" w:rsidRDefault="001F5445" w:rsidP="001F5445">
      <w:pPr>
        <w:spacing w:before="100" w:beforeAutospacing="1" w:after="100" w:afterAutospacing="1" w:line="319" w:lineRule="atLeast"/>
        <w:rPr>
          <w:rFonts w:ascii="Times New Roman" w:eastAsia="Times New Roman" w:hAnsi="Times New Roman" w:cs="Times New Roman"/>
          <w:sz w:val="24"/>
          <w:szCs w:val="24"/>
        </w:rPr>
      </w:pPr>
      <w:r w:rsidRPr="001F5445">
        <w:rPr>
          <w:rFonts w:ascii="Times New Roman" w:eastAsia="Times New Roman" w:hAnsi="Times New Roman" w:cs="Times New Roman"/>
          <w:sz w:val="24"/>
          <w:szCs w:val="24"/>
        </w:rPr>
        <w:t xml:space="preserve">In the United States, the share of total pre-tax income accruing to the top 1% has more than doubled from less than 10% in the 1970s to over 20% today (CBO 2011 and Piketty and </w:t>
      </w:r>
      <w:proofErr w:type="spellStart"/>
      <w:r w:rsidRPr="001F5445">
        <w:rPr>
          <w:rFonts w:ascii="Times New Roman" w:eastAsia="Times New Roman" w:hAnsi="Times New Roman" w:cs="Times New Roman"/>
          <w:sz w:val="24"/>
          <w:szCs w:val="24"/>
        </w:rPr>
        <w:t>Saez</w:t>
      </w:r>
      <w:proofErr w:type="spellEnd"/>
      <w:r w:rsidRPr="001F5445">
        <w:rPr>
          <w:rFonts w:ascii="Times New Roman" w:eastAsia="Times New Roman" w:hAnsi="Times New Roman" w:cs="Times New Roman"/>
          <w:sz w:val="24"/>
          <w:szCs w:val="24"/>
        </w:rPr>
        <w:t xml:space="preserve"> 2003). A similar pattern is true of other English-speaking countries. Contrary to the widely held view, however, </w:t>
      </w:r>
      <w:proofErr w:type="spellStart"/>
      <w:r w:rsidRPr="001F5445">
        <w:rPr>
          <w:rFonts w:ascii="Times New Roman" w:eastAsia="Times New Roman" w:hAnsi="Times New Roman" w:cs="Times New Roman"/>
          <w:sz w:val="24"/>
          <w:szCs w:val="24"/>
        </w:rPr>
        <w:t>globalisation</w:t>
      </w:r>
      <w:proofErr w:type="spellEnd"/>
      <w:r w:rsidRPr="001F5445">
        <w:rPr>
          <w:rFonts w:ascii="Times New Roman" w:eastAsia="Times New Roman" w:hAnsi="Times New Roman" w:cs="Times New Roman"/>
          <w:sz w:val="24"/>
          <w:szCs w:val="24"/>
        </w:rPr>
        <w:t xml:space="preserve"> and new technologies are not to blame. Other OECD countries such as those in continental Europe or Japan have seen far less concentration of income among the mega rich (</w:t>
      </w:r>
      <w:hyperlink r:id="rId6" w:history="1">
        <w:r w:rsidRPr="001F5445">
          <w:rPr>
            <w:rFonts w:ascii="Times New Roman" w:eastAsia="Times New Roman" w:hAnsi="Times New Roman" w:cs="Times New Roman"/>
            <w:color w:val="0000FF"/>
            <w:sz w:val="24"/>
            <w:szCs w:val="24"/>
            <w:u w:val="single"/>
          </w:rPr>
          <w:t>World Top Incomes Database 2011</w:t>
        </w:r>
      </w:hyperlink>
      <w:r w:rsidRPr="001F5445">
        <w:rPr>
          <w:rFonts w:ascii="Times New Roman" w:eastAsia="Times New Roman" w:hAnsi="Times New Roman" w:cs="Times New Roman"/>
          <w:sz w:val="24"/>
          <w:szCs w:val="24"/>
        </w:rPr>
        <w:t>).</w:t>
      </w:r>
    </w:p>
    <w:p w:rsidR="001F5445" w:rsidRPr="001F5445" w:rsidRDefault="001F5445" w:rsidP="001F5445">
      <w:pPr>
        <w:spacing w:before="100" w:beforeAutospacing="1" w:after="100" w:afterAutospacing="1" w:line="319" w:lineRule="atLeast"/>
        <w:rPr>
          <w:rFonts w:ascii="Times New Roman" w:eastAsia="Times New Roman" w:hAnsi="Times New Roman" w:cs="Times New Roman"/>
          <w:sz w:val="24"/>
          <w:szCs w:val="24"/>
        </w:rPr>
      </w:pPr>
      <w:r w:rsidRPr="001F5445">
        <w:rPr>
          <w:rFonts w:ascii="Times New Roman" w:eastAsia="Times New Roman" w:hAnsi="Times New Roman" w:cs="Times New Roman"/>
          <w:sz w:val="24"/>
          <w:szCs w:val="24"/>
        </w:rPr>
        <w:t>At the same time, top income tax rates on upper income earners have declined significantly since the 1970s in many OECD countries, again particularly in English-speaking ones. For example, top marginal income tax rates in the United States or the United Kingdom were above 70% in the 1970s before the Reagan and Thatcher revolutions drastically cut them by 40 percentage points within a decade.</w:t>
      </w:r>
    </w:p>
    <w:p w:rsidR="001F5445" w:rsidRPr="001F5445" w:rsidRDefault="001F5445" w:rsidP="001F5445">
      <w:pPr>
        <w:spacing w:before="100" w:beforeAutospacing="1" w:after="100" w:afterAutospacing="1" w:line="319" w:lineRule="atLeast"/>
        <w:rPr>
          <w:rFonts w:ascii="Times New Roman" w:eastAsia="Times New Roman" w:hAnsi="Times New Roman" w:cs="Times New Roman"/>
          <w:sz w:val="24"/>
          <w:szCs w:val="24"/>
        </w:rPr>
      </w:pPr>
      <w:r w:rsidRPr="001F5445">
        <w:rPr>
          <w:rFonts w:ascii="Times New Roman" w:eastAsia="Times New Roman" w:hAnsi="Times New Roman" w:cs="Times New Roman"/>
          <w:sz w:val="24"/>
          <w:szCs w:val="24"/>
        </w:rPr>
        <w:t>At a time when most OECD countries face large deficits and debt burdens, a crucial public policy question is whether governments should tax high earners more. The potential tax revenue at stake is now very large. For example, doubling the average US individual income tax rate on the top 1% income earners from the current 22.5% level to 45% would increase tax revenue by 2.7% of GDP per year</w:t>
      </w:r>
      <w:proofErr w:type="gramStart"/>
      <w:r w:rsidRPr="001F5445">
        <w:rPr>
          <w:rFonts w:ascii="Times New Roman" w:eastAsia="Times New Roman" w:hAnsi="Times New Roman" w:cs="Times New Roman"/>
          <w:sz w:val="24"/>
          <w:szCs w:val="24"/>
        </w:rPr>
        <w:t>,</w:t>
      </w:r>
      <w:proofErr w:type="gramEnd"/>
      <w:r w:rsidRPr="001F5445">
        <w:rPr>
          <w:rFonts w:ascii="Times New Roman" w:eastAsia="Times New Roman" w:hAnsi="Times New Roman" w:cs="Times New Roman"/>
          <w:sz w:val="24"/>
          <w:szCs w:val="24"/>
          <w:vertAlign w:val="superscript"/>
        </w:rPr>
        <w:fldChar w:fldCharType="begin"/>
      </w:r>
      <w:r w:rsidRPr="001F5445">
        <w:rPr>
          <w:rFonts w:ascii="Times New Roman" w:eastAsia="Times New Roman" w:hAnsi="Times New Roman" w:cs="Times New Roman"/>
          <w:sz w:val="24"/>
          <w:szCs w:val="24"/>
          <w:vertAlign w:val="superscript"/>
        </w:rPr>
        <w:instrText xml:space="preserve"> HYPERLINK "http://www.voxeu.org/article/taxing-1-why-top-tax-rate-could-be-over-80" \l "fn1" </w:instrText>
      </w:r>
      <w:r w:rsidRPr="001F5445">
        <w:rPr>
          <w:rFonts w:ascii="Times New Roman" w:eastAsia="Times New Roman" w:hAnsi="Times New Roman" w:cs="Times New Roman"/>
          <w:sz w:val="24"/>
          <w:szCs w:val="24"/>
          <w:vertAlign w:val="superscript"/>
        </w:rPr>
        <w:fldChar w:fldCharType="separate"/>
      </w:r>
      <w:r w:rsidRPr="001F5445">
        <w:rPr>
          <w:rFonts w:ascii="Times New Roman" w:eastAsia="Times New Roman" w:hAnsi="Times New Roman" w:cs="Times New Roman"/>
          <w:color w:val="0000FF"/>
          <w:sz w:val="24"/>
          <w:szCs w:val="24"/>
          <w:u w:val="single"/>
          <w:vertAlign w:val="superscript"/>
        </w:rPr>
        <w:t>1</w:t>
      </w:r>
      <w:r w:rsidRPr="001F5445">
        <w:rPr>
          <w:rFonts w:ascii="Times New Roman" w:eastAsia="Times New Roman" w:hAnsi="Times New Roman" w:cs="Times New Roman"/>
          <w:sz w:val="24"/>
          <w:szCs w:val="24"/>
          <w:vertAlign w:val="superscript"/>
        </w:rPr>
        <w:fldChar w:fldCharType="end"/>
      </w:r>
      <w:r w:rsidRPr="001F5445">
        <w:rPr>
          <w:rFonts w:ascii="Times New Roman" w:eastAsia="Times New Roman" w:hAnsi="Times New Roman" w:cs="Times New Roman"/>
          <w:sz w:val="24"/>
          <w:szCs w:val="24"/>
        </w:rPr>
        <w:t xml:space="preserve"> as much as letting all of the Bush tax cuts expire. But, of course, this simple calculation is static and such a large increase in taxes may well affect the economic </w:t>
      </w:r>
      <w:proofErr w:type="spellStart"/>
      <w:r w:rsidRPr="001F5445">
        <w:rPr>
          <w:rFonts w:ascii="Times New Roman" w:eastAsia="Times New Roman" w:hAnsi="Times New Roman" w:cs="Times New Roman"/>
          <w:sz w:val="24"/>
          <w:szCs w:val="24"/>
        </w:rPr>
        <w:t>behaviour</w:t>
      </w:r>
      <w:proofErr w:type="spellEnd"/>
      <w:r w:rsidRPr="001F5445">
        <w:rPr>
          <w:rFonts w:ascii="Times New Roman" w:eastAsia="Times New Roman" w:hAnsi="Times New Roman" w:cs="Times New Roman"/>
          <w:sz w:val="24"/>
          <w:szCs w:val="24"/>
        </w:rPr>
        <w:t xml:space="preserve"> of the rich and the income they report pre-tax, the broader economy, and ultimately the tax revenue generated. In recent research (</w:t>
      </w:r>
      <w:hyperlink r:id="rId7" w:history="1">
        <w:r w:rsidRPr="001F5445">
          <w:rPr>
            <w:rFonts w:ascii="Times New Roman" w:eastAsia="Times New Roman" w:hAnsi="Times New Roman" w:cs="Times New Roman"/>
            <w:color w:val="0000FF"/>
            <w:sz w:val="24"/>
            <w:szCs w:val="24"/>
            <w:u w:val="single"/>
          </w:rPr>
          <w:t xml:space="preserve">Piketty </w:t>
        </w:r>
        <w:r w:rsidRPr="001F5445">
          <w:rPr>
            <w:rFonts w:ascii="Times New Roman" w:eastAsia="Times New Roman" w:hAnsi="Times New Roman" w:cs="Times New Roman"/>
            <w:i/>
            <w:iCs/>
            <w:color w:val="0000FF"/>
            <w:sz w:val="24"/>
            <w:szCs w:val="24"/>
            <w:u w:val="single"/>
          </w:rPr>
          <w:t>et al</w:t>
        </w:r>
        <w:r w:rsidRPr="001F5445">
          <w:rPr>
            <w:rFonts w:ascii="Times New Roman" w:eastAsia="Times New Roman" w:hAnsi="Times New Roman" w:cs="Times New Roman"/>
            <w:color w:val="0000FF"/>
            <w:sz w:val="24"/>
            <w:szCs w:val="24"/>
            <w:u w:val="single"/>
          </w:rPr>
          <w:t xml:space="preserve"> 2011</w:t>
        </w:r>
      </w:hyperlink>
      <w:r w:rsidRPr="001F5445">
        <w:rPr>
          <w:rFonts w:ascii="Times New Roman" w:eastAsia="Times New Roman" w:hAnsi="Times New Roman" w:cs="Times New Roman"/>
          <w:sz w:val="24"/>
          <w:szCs w:val="24"/>
        </w:rPr>
        <w:t xml:space="preserve">), we </w:t>
      </w:r>
      <w:proofErr w:type="spellStart"/>
      <w:r w:rsidRPr="001F5445">
        <w:rPr>
          <w:rFonts w:ascii="Times New Roman" w:eastAsia="Times New Roman" w:hAnsi="Times New Roman" w:cs="Times New Roman"/>
          <w:sz w:val="24"/>
          <w:szCs w:val="24"/>
        </w:rPr>
        <w:t>analyse</w:t>
      </w:r>
      <w:proofErr w:type="spellEnd"/>
      <w:r w:rsidRPr="001F5445">
        <w:rPr>
          <w:rFonts w:ascii="Times New Roman" w:eastAsia="Times New Roman" w:hAnsi="Times New Roman" w:cs="Times New Roman"/>
          <w:sz w:val="24"/>
          <w:szCs w:val="24"/>
        </w:rPr>
        <w:t xml:space="preserve"> this issue both conceptually and empirically using international evidence on top incomes and top tax rates since the 1970s.</w:t>
      </w:r>
    </w:p>
    <w:p w:rsidR="001F5445" w:rsidRPr="001F5445" w:rsidRDefault="001F5445" w:rsidP="001F5445">
      <w:pPr>
        <w:spacing w:before="100" w:beforeAutospacing="1" w:after="100" w:afterAutospacing="1" w:line="319" w:lineRule="atLeast"/>
        <w:rPr>
          <w:rFonts w:ascii="Times New Roman" w:eastAsia="Times New Roman" w:hAnsi="Times New Roman" w:cs="Times New Roman"/>
          <w:sz w:val="24"/>
          <w:szCs w:val="24"/>
        </w:rPr>
      </w:pPr>
      <w:r w:rsidRPr="001F5445">
        <w:rPr>
          <w:rFonts w:ascii="Times New Roman" w:eastAsia="Times New Roman" w:hAnsi="Times New Roman" w:cs="Times New Roman"/>
          <w:sz w:val="24"/>
          <w:szCs w:val="24"/>
        </w:rPr>
        <w:t xml:space="preserve">Figure 1 shows that there is indeed a strong correlation between the reductions in top tax rates and the increases in top 1% </w:t>
      </w:r>
      <w:r w:rsidRPr="001F5445">
        <w:rPr>
          <w:rFonts w:ascii="Times New Roman" w:eastAsia="Times New Roman" w:hAnsi="Times New Roman" w:cs="Times New Roman"/>
          <w:i/>
          <w:iCs/>
          <w:sz w:val="24"/>
          <w:szCs w:val="24"/>
        </w:rPr>
        <w:t>pre-tax</w:t>
      </w:r>
      <w:r w:rsidRPr="001F5445">
        <w:rPr>
          <w:rFonts w:ascii="Times New Roman" w:eastAsia="Times New Roman" w:hAnsi="Times New Roman" w:cs="Times New Roman"/>
          <w:sz w:val="24"/>
          <w:szCs w:val="24"/>
        </w:rPr>
        <w:t xml:space="preserve"> income shares from 1975–79 to 2004–08 across 18 OECD </w:t>
      </w:r>
      <w:r w:rsidRPr="001F5445">
        <w:rPr>
          <w:rFonts w:ascii="Times New Roman" w:eastAsia="Times New Roman" w:hAnsi="Times New Roman" w:cs="Times New Roman"/>
          <w:sz w:val="24"/>
          <w:szCs w:val="24"/>
        </w:rPr>
        <w:lastRenderedPageBreak/>
        <w:t>countries for which top income share information is available. For example, the United States experienced a 35 percentage point reduction in its top income tax rate and a very large ten percentage point increase in its top 1% pre-tax income share. By contrast, France or Germany saw very little change in their top tax rates and their top 1% income shares during the same period. Hence, the evolution of top tax rates is a good predictor of changes in pre-tax income concentration. There are three scenarios to explain the strong response of top pre-tax incomes to top tax rates. They have very different policy implications and can be tested in the data.</w:t>
      </w:r>
    </w:p>
    <w:p w:rsidR="001F5445" w:rsidRPr="001F5445" w:rsidRDefault="001F5445" w:rsidP="001F5445">
      <w:pPr>
        <w:spacing w:before="100" w:beforeAutospacing="1" w:after="100" w:afterAutospacing="1" w:line="319" w:lineRule="atLeast"/>
        <w:rPr>
          <w:rFonts w:ascii="Times New Roman" w:eastAsia="Times New Roman" w:hAnsi="Times New Roman" w:cs="Times New Roman"/>
          <w:sz w:val="24"/>
          <w:szCs w:val="24"/>
        </w:rPr>
      </w:pPr>
      <w:r w:rsidRPr="001F5445">
        <w:rPr>
          <w:rFonts w:ascii="Times New Roman" w:eastAsia="Times New Roman" w:hAnsi="Times New Roman" w:cs="Times New Roman"/>
          <w:sz w:val="24"/>
          <w:szCs w:val="24"/>
        </w:rPr>
        <w:t>First, higher top tax rates may discourage work effort and business creation among the most talented – the so-called supply-side effect. In this scenario, lower top tax rates would lead to more economic activity by the rich and hence more economic growth. If all the correlation of top income shares and top tax rates documented on Figure 1 were due to such supply-side effects, the revenue-</w:t>
      </w:r>
      <w:proofErr w:type="spellStart"/>
      <w:r w:rsidRPr="001F5445">
        <w:rPr>
          <w:rFonts w:ascii="Times New Roman" w:eastAsia="Times New Roman" w:hAnsi="Times New Roman" w:cs="Times New Roman"/>
          <w:sz w:val="24"/>
          <w:szCs w:val="24"/>
        </w:rPr>
        <w:t>maximising</w:t>
      </w:r>
      <w:proofErr w:type="spellEnd"/>
      <w:r w:rsidRPr="001F5445">
        <w:rPr>
          <w:rFonts w:ascii="Times New Roman" w:eastAsia="Times New Roman" w:hAnsi="Times New Roman" w:cs="Times New Roman"/>
          <w:sz w:val="24"/>
          <w:szCs w:val="24"/>
        </w:rPr>
        <w:t xml:space="preserve"> top tax rate would be 57%. This would still imply that the United States still has some leeway to increase taxes on the rich, but that the upper limit has already been reached in many European countries.</w:t>
      </w:r>
    </w:p>
    <w:p w:rsidR="001F5445" w:rsidRPr="001F5445" w:rsidRDefault="001F5445" w:rsidP="001F5445">
      <w:pPr>
        <w:spacing w:before="100" w:beforeAutospacing="1" w:after="100" w:afterAutospacing="1" w:line="319" w:lineRule="atLeast"/>
        <w:rPr>
          <w:rFonts w:ascii="Times New Roman" w:eastAsia="Times New Roman" w:hAnsi="Times New Roman" w:cs="Times New Roman"/>
          <w:sz w:val="24"/>
          <w:szCs w:val="24"/>
        </w:rPr>
      </w:pPr>
      <w:r w:rsidRPr="001F5445">
        <w:rPr>
          <w:rFonts w:ascii="Times New Roman" w:eastAsia="Times New Roman" w:hAnsi="Times New Roman" w:cs="Times New Roman"/>
          <w:sz w:val="24"/>
          <w:szCs w:val="24"/>
        </w:rPr>
        <w:t>Second, higher top tax rates can increase tax avoidance. In that scenario, increasing top rates in a tax system riddled with loopholes and tax avoidance opportunities is not productive either. However, a better policy would be to first close loopholes so as to eliminate most tax avoidance opportunities and only then increase top tax rates. With sufficient political will and international cooperation to enforce taxes, it is possible to eliminate most tax avoidance opportunities, which are well known and documented. With a broad tax base offering no significant avoidance opportunities, only real supply-side responses would limit how high top tax rate can be set before becoming counter-productive.</w:t>
      </w:r>
    </w:p>
    <w:p w:rsidR="001F5445" w:rsidRPr="001F5445" w:rsidRDefault="001F5445" w:rsidP="001F5445">
      <w:pPr>
        <w:spacing w:before="100" w:beforeAutospacing="1" w:after="100" w:afterAutospacing="1" w:line="319" w:lineRule="atLeast"/>
        <w:rPr>
          <w:rFonts w:ascii="Times New Roman" w:eastAsia="Times New Roman" w:hAnsi="Times New Roman" w:cs="Times New Roman"/>
          <w:sz w:val="24"/>
          <w:szCs w:val="24"/>
        </w:rPr>
      </w:pPr>
      <w:r w:rsidRPr="001F5445">
        <w:rPr>
          <w:rFonts w:ascii="Times New Roman" w:eastAsia="Times New Roman" w:hAnsi="Times New Roman" w:cs="Times New Roman"/>
          <w:sz w:val="24"/>
          <w:szCs w:val="24"/>
        </w:rPr>
        <w:t xml:space="preserve">Third, while standard economic models assume that pay reflects productivity, there are strong reasons to be </w:t>
      </w:r>
      <w:proofErr w:type="spellStart"/>
      <w:r w:rsidRPr="001F5445">
        <w:rPr>
          <w:rFonts w:ascii="Times New Roman" w:eastAsia="Times New Roman" w:hAnsi="Times New Roman" w:cs="Times New Roman"/>
          <w:sz w:val="24"/>
          <w:szCs w:val="24"/>
        </w:rPr>
        <w:t>sceptical</w:t>
      </w:r>
      <w:proofErr w:type="spellEnd"/>
      <w:r w:rsidRPr="001F5445">
        <w:rPr>
          <w:rFonts w:ascii="Times New Roman" w:eastAsia="Times New Roman" w:hAnsi="Times New Roman" w:cs="Times New Roman"/>
          <w:sz w:val="24"/>
          <w:szCs w:val="24"/>
        </w:rPr>
        <w:t xml:space="preserve">, especially at the top of the income distribution where the actual economic contribution of managers working in complex </w:t>
      </w:r>
      <w:proofErr w:type="spellStart"/>
      <w:r w:rsidRPr="001F5445">
        <w:rPr>
          <w:rFonts w:ascii="Times New Roman" w:eastAsia="Times New Roman" w:hAnsi="Times New Roman" w:cs="Times New Roman"/>
          <w:sz w:val="24"/>
          <w:szCs w:val="24"/>
        </w:rPr>
        <w:t>organisations</w:t>
      </w:r>
      <w:proofErr w:type="spellEnd"/>
      <w:r w:rsidRPr="001F5445">
        <w:rPr>
          <w:rFonts w:ascii="Times New Roman" w:eastAsia="Times New Roman" w:hAnsi="Times New Roman" w:cs="Times New Roman"/>
          <w:sz w:val="24"/>
          <w:szCs w:val="24"/>
        </w:rPr>
        <w:t xml:space="preserve"> is particularly difficult to measure. In this scenario, top earners might be able to partly set their own pay by bargaining harder or influencing compensation committees. Naturally, the incentives for such ‘rent-seeking’ are much stronger when top tax rates are low. In this scenario, cuts in top tax rates can still increase top income shares – consistent with the observed trend in Figure 1 – but the increases in top 1% incomes now come </w:t>
      </w:r>
      <w:r w:rsidRPr="001F5445">
        <w:rPr>
          <w:rFonts w:ascii="Times New Roman" w:eastAsia="Times New Roman" w:hAnsi="Times New Roman" w:cs="Times New Roman"/>
          <w:i/>
          <w:iCs/>
          <w:sz w:val="24"/>
          <w:szCs w:val="24"/>
        </w:rPr>
        <w:t>at the expense</w:t>
      </w:r>
      <w:r w:rsidRPr="001F5445">
        <w:rPr>
          <w:rFonts w:ascii="Times New Roman" w:eastAsia="Times New Roman" w:hAnsi="Times New Roman" w:cs="Times New Roman"/>
          <w:sz w:val="24"/>
          <w:szCs w:val="24"/>
        </w:rPr>
        <w:t xml:space="preserve"> of the remaining 99%. In other words, top rate cuts stimulate rent-seeking at the top but not overall economic growth – the key difference with the first, supply-side, scenario.</w:t>
      </w:r>
    </w:p>
    <w:p w:rsidR="001F5445" w:rsidRPr="001F5445" w:rsidRDefault="001F5445" w:rsidP="001F5445">
      <w:pPr>
        <w:spacing w:before="100" w:beforeAutospacing="1" w:after="100" w:afterAutospacing="1" w:line="319" w:lineRule="atLeast"/>
        <w:rPr>
          <w:rFonts w:ascii="Times New Roman" w:eastAsia="Times New Roman" w:hAnsi="Times New Roman" w:cs="Times New Roman"/>
          <w:sz w:val="24"/>
          <w:szCs w:val="24"/>
        </w:rPr>
      </w:pPr>
      <w:r w:rsidRPr="001F5445">
        <w:rPr>
          <w:rFonts w:ascii="Times New Roman" w:eastAsia="Times New Roman" w:hAnsi="Times New Roman" w:cs="Times New Roman"/>
          <w:sz w:val="24"/>
          <w:szCs w:val="24"/>
        </w:rPr>
        <w:t xml:space="preserve">To tell these various scenarios apart, we need to </w:t>
      </w:r>
      <w:proofErr w:type="spellStart"/>
      <w:r w:rsidRPr="001F5445">
        <w:rPr>
          <w:rFonts w:ascii="Times New Roman" w:eastAsia="Times New Roman" w:hAnsi="Times New Roman" w:cs="Times New Roman"/>
          <w:sz w:val="24"/>
          <w:szCs w:val="24"/>
        </w:rPr>
        <w:t>analyse</w:t>
      </w:r>
      <w:proofErr w:type="spellEnd"/>
      <w:r w:rsidRPr="001F5445">
        <w:rPr>
          <w:rFonts w:ascii="Times New Roman" w:eastAsia="Times New Roman" w:hAnsi="Times New Roman" w:cs="Times New Roman"/>
          <w:sz w:val="24"/>
          <w:szCs w:val="24"/>
        </w:rPr>
        <w:t xml:space="preserve"> to what extent top tax rate cuts lead to higher economic growth. Figure 2 </w:t>
      </w:r>
      <w:proofErr w:type="gramStart"/>
      <w:r w:rsidRPr="001F5445">
        <w:rPr>
          <w:rFonts w:ascii="Times New Roman" w:eastAsia="Times New Roman" w:hAnsi="Times New Roman" w:cs="Times New Roman"/>
          <w:sz w:val="24"/>
          <w:szCs w:val="24"/>
        </w:rPr>
        <w:t>shows</w:t>
      </w:r>
      <w:proofErr w:type="gramEnd"/>
      <w:r w:rsidRPr="001F5445">
        <w:rPr>
          <w:rFonts w:ascii="Times New Roman" w:eastAsia="Times New Roman" w:hAnsi="Times New Roman" w:cs="Times New Roman"/>
          <w:sz w:val="24"/>
          <w:szCs w:val="24"/>
        </w:rPr>
        <w:t xml:space="preserve"> that there is no correlation between cuts in top tax rates and average annual real GDP-per-capita growth since the 1970s. For example, countries that made large cuts in top tax rates such as the United Kingdom or the United States have not grown significantly faster than countries that did not, such as Germany or Denmark. Hence, a </w:t>
      </w:r>
      <w:r w:rsidRPr="001F5445">
        <w:rPr>
          <w:rFonts w:ascii="Times New Roman" w:eastAsia="Times New Roman" w:hAnsi="Times New Roman" w:cs="Times New Roman"/>
          <w:sz w:val="24"/>
          <w:szCs w:val="24"/>
        </w:rPr>
        <w:lastRenderedPageBreak/>
        <w:t>substantial fraction of the response of pre-tax top incomes to top tax rates documented in Figure 1 may be due to increased rent-seeking at the top rather than increased productive effort.</w:t>
      </w:r>
    </w:p>
    <w:p w:rsidR="001F5445" w:rsidRPr="001F5445" w:rsidRDefault="001F5445" w:rsidP="001F5445">
      <w:pPr>
        <w:spacing w:before="100" w:beforeAutospacing="1" w:after="100" w:afterAutospacing="1" w:line="319" w:lineRule="atLeast"/>
        <w:rPr>
          <w:rFonts w:ascii="Times New Roman" w:eastAsia="Times New Roman" w:hAnsi="Times New Roman" w:cs="Times New Roman"/>
          <w:sz w:val="24"/>
          <w:szCs w:val="24"/>
        </w:rPr>
      </w:pPr>
      <w:r w:rsidRPr="001F5445">
        <w:rPr>
          <w:rFonts w:ascii="Times New Roman" w:eastAsia="Times New Roman" w:hAnsi="Times New Roman" w:cs="Times New Roman"/>
          <w:sz w:val="24"/>
          <w:szCs w:val="24"/>
        </w:rPr>
        <w:t xml:space="preserve">Naturally, cross-country comparisons are bound to be fragile, and the exact results vary with the specification, years, and countries. But by and large, the bottom line is that rich countries have all grown at roughly the same rate over the past 30 years – in spite of huge variations in tax policies. Using our model and mid-range parameter values where the response of top earners to top tax rate cuts is due in part to increased rent-seeking </w:t>
      </w:r>
      <w:proofErr w:type="spellStart"/>
      <w:r w:rsidRPr="001F5445">
        <w:rPr>
          <w:rFonts w:ascii="Times New Roman" w:eastAsia="Times New Roman" w:hAnsi="Times New Roman" w:cs="Times New Roman"/>
          <w:sz w:val="24"/>
          <w:szCs w:val="24"/>
        </w:rPr>
        <w:t>behaviour</w:t>
      </w:r>
      <w:proofErr w:type="spellEnd"/>
      <w:r w:rsidRPr="001F5445">
        <w:rPr>
          <w:rFonts w:ascii="Times New Roman" w:eastAsia="Times New Roman" w:hAnsi="Times New Roman" w:cs="Times New Roman"/>
          <w:sz w:val="24"/>
          <w:szCs w:val="24"/>
        </w:rPr>
        <w:t xml:space="preserve"> and in part to increased productive work, we find that the top tax rate could potentially be set as high as 83% – as opposed to 57% in the pure supply-side model.</w:t>
      </w:r>
    </w:p>
    <w:p w:rsidR="001F5445" w:rsidRPr="001F5445" w:rsidRDefault="001F5445" w:rsidP="001F5445">
      <w:pPr>
        <w:spacing w:before="100" w:beforeAutospacing="1" w:after="100" w:afterAutospacing="1" w:line="319" w:lineRule="atLeast"/>
        <w:rPr>
          <w:rFonts w:ascii="Times New Roman" w:eastAsia="Times New Roman" w:hAnsi="Times New Roman" w:cs="Times New Roman"/>
          <w:sz w:val="24"/>
          <w:szCs w:val="24"/>
        </w:rPr>
      </w:pPr>
      <w:r w:rsidRPr="001F5445">
        <w:rPr>
          <w:rFonts w:ascii="Times New Roman" w:eastAsia="Times New Roman" w:hAnsi="Times New Roman" w:cs="Times New Roman"/>
          <w:sz w:val="24"/>
          <w:szCs w:val="24"/>
        </w:rPr>
        <w:t>Up until the 1970s, policymakers and public opinion probably considered – rightly or wrongly – that at the very top of the income ladder, pay increases reflected mostly greed or other socially wasteful activities rather than productive work effort. This is why they were able to set marginal tax rates as high as 80% in the US and the UK. The Reagan/Thatcher revolution has succeeded in making such top tax rate levels unthinkable since then. But after decades of increasing income concentration that has brought about mediocre growth since the 1970s and a Great Recession triggered by financial sector excesses, a rethinking of the Reagan and Thatcher revolutions is perhaps underway. The United Kingdom has increased its top income tax rate from 40% to 50% in 2010 in part to curb top pay excesses. In the United States, the Occupy Wall Street movement and its famous "We are the 99%" slogan also reflects the view that the top 1% may have gained at the expense of the 99%.</w:t>
      </w:r>
    </w:p>
    <w:p w:rsidR="001F5445" w:rsidRPr="001F5445" w:rsidRDefault="001F5445" w:rsidP="001F5445">
      <w:pPr>
        <w:spacing w:before="100" w:beforeAutospacing="1" w:after="100" w:afterAutospacing="1" w:line="319" w:lineRule="atLeast"/>
        <w:rPr>
          <w:rFonts w:ascii="Times New Roman" w:eastAsia="Times New Roman" w:hAnsi="Times New Roman" w:cs="Times New Roman"/>
          <w:sz w:val="24"/>
          <w:szCs w:val="24"/>
        </w:rPr>
      </w:pPr>
      <w:r w:rsidRPr="001F5445">
        <w:rPr>
          <w:rFonts w:ascii="Times New Roman" w:eastAsia="Times New Roman" w:hAnsi="Times New Roman" w:cs="Times New Roman"/>
          <w:sz w:val="24"/>
          <w:szCs w:val="24"/>
        </w:rPr>
        <w:t>In the end, the future of top tax rates depends on the public's beliefs of whether top pay fairly reflects productivity or whether top pay, rather unfairly, arises from rent-seeking. With higher income concentration, top earners have more economic resources to influence social beliefs (through think tanks and media) and policies (through lobbying), thereby creating some reverse causality between income inequality, perceptions, and policies. We hope economists can shed light on these beliefs with compelling theoretical and empirical analysis.</w:t>
      </w:r>
    </w:p>
    <w:p w:rsidR="001F5445" w:rsidRPr="001F5445" w:rsidRDefault="001F5445" w:rsidP="001F5445">
      <w:pPr>
        <w:spacing w:before="100" w:beforeAutospacing="1" w:after="100" w:afterAutospacing="1" w:line="319" w:lineRule="atLeast"/>
        <w:rPr>
          <w:rFonts w:ascii="Times New Roman" w:eastAsia="Times New Roman" w:hAnsi="Times New Roman" w:cs="Times New Roman"/>
          <w:sz w:val="24"/>
          <w:szCs w:val="24"/>
        </w:rPr>
      </w:pPr>
      <w:proofErr w:type="gramStart"/>
      <w:r w:rsidRPr="001F5445">
        <w:rPr>
          <w:rFonts w:ascii="Times New Roman" w:eastAsia="Times New Roman" w:hAnsi="Times New Roman" w:cs="Times New Roman"/>
          <w:b/>
          <w:bCs/>
          <w:sz w:val="24"/>
          <w:szCs w:val="24"/>
        </w:rPr>
        <w:t>Figure 1.</w:t>
      </w:r>
      <w:proofErr w:type="gramEnd"/>
      <w:r w:rsidRPr="001F5445">
        <w:rPr>
          <w:rFonts w:ascii="Times New Roman" w:eastAsia="Times New Roman" w:hAnsi="Times New Roman" w:cs="Times New Roman"/>
          <w:b/>
          <w:bCs/>
          <w:sz w:val="24"/>
          <w:szCs w:val="24"/>
        </w:rPr>
        <w:t> </w:t>
      </w:r>
      <w:r w:rsidRPr="001F5445">
        <w:rPr>
          <w:rFonts w:ascii="Times New Roman" w:eastAsia="Times New Roman" w:hAnsi="Times New Roman" w:cs="Times New Roman"/>
          <w:sz w:val="24"/>
          <w:szCs w:val="24"/>
        </w:rPr>
        <w:t>Changes in top 1% pre-tax income shares and top marginal tax rates since the 1970s</w:t>
      </w:r>
    </w:p>
    <w:p w:rsidR="001F5445" w:rsidRPr="001F5445" w:rsidRDefault="001F5445" w:rsidP="001F5445">
      <w:pPr>
        <w:spacing w:before="100" w:beforeAutospacing="1" w:after="100" w:afterAutospacing="1" w:line="319" w:lineRule="atLeast"/>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w:lastRenderedPageBreak/>
        <w:drawing>
          <wp:inline distT="0" distB="0" distL="0" distR="0">
            <wp:extent cx="5419725" cy="3524250"/>
            <wp:effectExtent l="0" t="0" r="9525" b="0"/>
            <wp:docPr id="2" name="Picture 2" descr="http://www.voxeu.org/sites/default/files/image/FromAug2011/SaezFig1%281%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oxeu.org/sites/default/files/image/FromAug2011/SaezFig1%281%29.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9725" cy="3524250"/>
                    </a:xfrm>
                    <a:prstGeom prst="rect">
                      <a:avLst/>
                    </a:prstGeom>
                    <a:noFill/>
                    <a:ln>
                      <a:noFill/>
                    </a:ln>
                  </pic:spPr>
                </pic:pic>
              </a:graphicData>
            </a:graphic>
          </wp:inline>
        </w:drawing>
      </w:r>
    </w:p>
    <w:p w:rsidR="001F5445" w:rsidRPr="001F5445" w:rsidRDefault="001F5445" w:rsidP="001F5445">
      <w:pPr>
        <w:spacing w:before="100" w:beforeAutospacing="1" w:after="100" w:afterAutospacing="1" w:line="319" w:lineRule="atLeast"/>
        <w:rPr>
          <w:rFonts w:ascii="Times New Roman" w:eastAsia="Times New Roman" w:hAnsi="Times New Roman" w:cs="Times New Roman"/>
          <w:sz w:val="24"/>
          <w:szCs w:val="24"/>
        </w:rPr>
      </w:pPr>
      <w:r w:rsidRPr="001F5445">
        <w:rPr>
          <w:rFonts w:ascii="Times New Roman" w:eastAsia="Times New Roman" w:hAnsi="Times New Roman" w:cs="Times New Roman"/>
          <w:i/>
          <w:iCs/>
          <w:sz w:val="24"/>
          <w:szCs w:val="24"/>
        </w:rPr>
        <w:t>Note:</w:t>
      </w:r>
      <w:r w:rsidRPr="001F5445">
        <w:rPr>
          <w:rFonts w:ascii="Times New Roman" w:eastAsia="Times New Roman" w:hAnsi="Times New Roman" w:cs="Times New Roman"/>
          <w:sz w:val="24"/>
          <w:szCs w:val="24"/>
        </w:rPr>
        <w:t xml:space="preserve"> The Figure depicts the change in top 1% pre-tax income shares against the change in top marginal income tax rates from 1975-9 to 2004-8 for 18 OECD countries (top tax rates include both central and local individual income tax rates, exact years vary slightly by countries depending on data availability in the World Top Income Database). </w:t>
      </w:r>
      <w:r w:rsidRPr="001F5445">
        <w:rPr>
          <w:rFonts w:ascii="Times New Roman" w:eastAsia="Times New Roman" w:hAnsi="Times New Roman" w:cs="Times New Roman"/>
          <w:i/>
          <w:iCs/>
          <w:sz w:val="24"/>
          <w:szCs w:val="24"/>
        </w:rPr>
        <w:t>Source:</w:t>
      </w:r>
      <w:r w:rsidRPr="001F5445">
        <w:rPr>
          <w:rFonts w:ascii="Times New Roman" w:eastAsia="Times New Roman" w:hAnsi="Times New Roman" w:cs="Times New Roman"/>
          <w:sz w:val="24"/>
          <w:szCs w:val="24"/>
        </w:rPr>
        <w:t xml:space="preserve"> Piketty </w:t>
      </w:r>
      <w:r w:rsidRPr="001F5445">
        <w:rPr>
          <w:rFonts w:ascii="Times New Roman" w:eastAsia="Times New Roman" w:hAnsi="Times New Roman" w:cs="Times New Roman"/>
          <w:i/>
          <w:iCs/>
          <w:sz w:val="24"/>
          <w:szCs w:val="24"/>
        </w:rPr>
        <w:t>et al</w:t>
      </w:r>
      <w:r w:rsidRPr="001F5445">
        <w:rPr>
          <w:rFonts w:ascii="Times New Roman" w:eastAsia="Times New Roman" w:hAnsi="Times New Roman" w:cs="Times New Roman"/>
          <w:sz w:val="24"/>
          <w:szCs w:val="24"/>
        </w:rPr>
        <w:t xml:space="preserve"> (2011), Figure 4A.</w:t>
      </w:r>
    </w:p>
    <w:p w:rsidR="001F5445" w:rsidRPr="001F5445" w:rsidRDefault="001F5445" w:rsidP="001F5445">
      <w:pPr>
        <w:spacing w:before="100" w:beforeAutospacing="1" w:after="100" w:afterAutospacing="1" w:line="319" w:lineRule="atLeast"/>
        <w:rPr>
          <w:rFonts w:ascii="Times New Roman" w:eastAsia="Times New Roman" w:hAnsi="Times New Roman" w:cs="Times New Roman"/>
          <w:sz w:val="24"/>
          <w:szCs w:val="24"/>
        </w:rPr>
      </w:pPr>
      <w:proofErr w:type="gramStart"/>
      <w:r w:rsidRPr="001F5445">
        <w:rPr>
          <w:rFonts w:ascii="Times New Roman" w:eastAsia="Times New Roman" w:hAnsi="Times New Roman" w:cs="Times New Roman"/>
          <w:b/>
          <w:bCs/>
          <w:sz w:val="24"/>
          <w:szCs w:val="24"/>
        </w:rPr>
        <w:t>Figure 2.</w:t>
      </w:r>
      <w:proofErr w:type="gramEnd"/>
      <w:r w:rsidRPr="001F5445">
        <w:rPr>
          <w:rFonts w:ascii="Times New Roman" w:eastAsia="Times New Roman" w:hAnsi="Times New Roman" w:cs="Times New Roman"/>
          <w:b/>
          <w:bCs/>
          <w:sz w:val="24"/>
          <w:szCs w:val="24"/>
        </w:rPr>
        <w:t> </w:t>
      </w:r>
      <w:r w:rsidRPr="001F5445">
        <w:rPr>
          <w:rFonts w:ascii="Times New Roman" w:eastAsia="Times New Roman" w:hAnsi="Times New Roman" w:cs="Times New Roman"/>
          <w:sz w:val="24"/>
          <w:szCs w:val="24"/>
        </w:rPr>
        <w:t>GDP-per-capita growth rates and top marginal tax rates since the 1970s</w:t>
      </w:r>
    </w:p>
    <w:p w:rsidR="001F5445" w:rsidRPr="001F5445" w:rsidRDefault="001F5445" w:rsidP="001F5445">
      <w:pPr>
        <w:spacing w:before="100" w:beforeAutospacing="1" w:after="100" w:afterAutospacing="1" w:line="319"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438775" cy="3543300"/>
            <wp:effectExtent l="0" t="0" r="9525" b="0"/>
            <wp:docPr id="1" name="Picture 1" descr="http://www.voxeu.org/sites/default/files/image/FromAug2011/SaezFig2%281%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voxeu.org/sites/default/files/image/FromAug2011/SaezFig2%281%29.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8775" cy="3543300"/>
                    </a:xfrm>
                    <a:prstGeom prst="rect">
                      <a:avLst/>
                    </a:prstGeom>
                    <a:noFill/>
                    <a:ln>
                      <a:noFill/>
                    </a:ln>
                  </pic:spPr>
                </pic:pic>
              </a:graphicData>
            </a:graphic>
          </wp:inline>
        </w:drawing>
      </w:r>
    </w:p>
    <w:p w:rsidR="001F5445" w:rsidRPr="001F5445" w:rsidRDefault="001F5445" w:rsidP="001F5445">
      <w:pPr>
        <w:spacing w:before="100" w:beforeAutospacing="1" w:after="100" w:afterAutospacing="1" w:line="319" w:lineRule="atLeast"/>
        <w:rPr>
          <w:rFonts w:ascii="Times New Roman" w:eastAsia="Times New Roman" w:hAnsi="Times New Roman" w:cs="Times New Roman"/>
          <w:sz w:val="24"/>
          <w:szCs w:val="24"/>
        </w:rPr>
      </w:pPr>
      <w:r w:rsidRPr="001F5445">
        <w:rPr>
          <w:rFonts w:ascii="Times New Roman" w:eastAsia="Times New Roman" w:hAnsi="Times New Roman" w:cs="Times New Roman"/>
          <w:i/>
          <w:iCs/>
          <w:sz w:val="24"/>
          <w:szCs w:val="24"/>
        </w:rPr>
        <w:t xml:space="preserve">Note: </w:t>
      </w:r>
      <w:r w:rsidRPr="001F5445">
        <w:rPr>
          <w:rFonts w:ascii="Times New Roman" w:eastAsia="Times New Roman" w:hAnsi="Times New Roman" w:cs="Times New Roman"/>
          <w:sz w:val="24"/>
          <w:szCs w:val="24"/>
        </w:rPr>
        <w:t xml:space="preserve">The Figure depicts the average real GDP-per-capita annual growth rate from 1975-9 to 2004-8 against the change in top marginal tax rates from 1975-9 to 2004-(exact years are the same as Figure 1 and vary slightly by countries). The correlation is virtually zero and insignificant suggesting that cuts in top tax rates do not lead to higher economic growth. </w:t>
      </w:r>
      <w:r w:rsidRPr="001F5445">
        <w:rPr>
          <w:rFonts w:ascii="Times New Roman" w:eastAsia="Times New Roman" w:hAnsi="Times New Roman" w:cs="Times New Roman"/>
          <w:i/>
          <w:iCs/>
          <w:sz w:val="24"/>
          <w:szCs w:val="24"/>
        </w:rPr>
        <w:t>Source:</w:t>
      </w:r>
      <w:r w:rsidRPr="001F5445">
        <w:rPr>
          <w:rFonts w:ascii="Times New Roman" w:eastAsia="Times New Roman" w:hAnsi="Times New Roman" w:cs="Times New Roman"/>
          <w:sz w:val="24"/>
          <w:szCs w:val="24"/>
        </w:rPr>
        <w:t xml:space="preserve"> Piketty </w:t>
      </w:r>
      <w:r w:rsidRPr="001F5445">
        <w:rPr>
          <w:rFonts w:ascii="Times New Roman" w:eastAsia="Times New Roman" w:hAnsi="Times New Roman" w:cs="Times New Roman"/>
          <w:i/>
          <w:iCs/>
          <w:sz w:val="24"/>
          <w:szCs w:val="24"/>
        </w:rPr>
        <w:t>et al</w:t>
      </w:r>
      <w:r w:rsidRPr="001F5445">
        <w:rPr>
          <w:rFonts w:ascii="Times New Roman" w:eastAsia="Times New Roman" w:hAnsi="Times New Roman" w:cs="Times New Roman"/>
          <w:sz w:val="24"/>
          <w:szCs w:val="24"/>
        </w:rPr>
        <w:t xml:space="preserve"> (2011), Figure 4B.</w:t>
      </w:r>
    </w:p>
    <w:p w:rsidR="001F5445" w:rsidRPr="001F5445" w:rsidRDefault="001F5445" w:rsidP="001F5445">
      <w:pPr>
        <w:spacing w:before="100" w:beforeAutospacing="1" w:after="100" w:afterAutospacing="1" w:line="319" w:lineRule="atLeast"/>
        <w:rPr>
          <w:rFonts w:ascii="Times New Roman" w:eastAsia="Times New Roman" w:hAnsi="Times New Roman" w:cs="Times New Roman"/>
          <w:sz w:val="24"/>
          <w:szCs w:val="24"/>
        </w:rPr>
      </w:pPr>
      <w:r w:rsidRPr="001F5445">
        <w:rPr>
          <w:rFonts w:ascii="Times New Roman" w:eastAsia="Times New Roman" w:hAnsi="Times New Roman" w:cs="Times New Roman"/>
          <w:sz w:val="24"/>
          <w:szCs w:val="24"/>
        </w:rPr>
        <w:t>References</w:t>
      </w:r>
    </w:p>
    <w:p w:rsidR="001F5445" w:rsidRPr="001F5445" w:rsidRDefault="001F5445" w:rsidP="001F5445">
      <w:pPr>
        <w:spacing w:before="100" w:beforeAutospacing="1" w:after="100" w:afterAutospacing="1" w:line="319" w:lineRule="atLeast"/>
        <w:rPr>
          <w:rFonts w:ascii="Times New Roman" w:eastAsia="Times New Roman" w:hAnsi="Times New Roman" w:cs="Times New Roman"/>
          <w:sz w:val="24"/>
          <w:szCs w:val="24"/>
        </w:rPr>
      </w:pPr>
      <w:r w:rsidRPr="001F5445">
        <w:rPr>
          <w:rFonts w:ascii="Times New Roman" w:eastAsia="Times New Roman" w:hAnsi="Times New Roman" w:cs="Times New Roman"/>
          <w:sz w:val="24"/>
          <w:szCs w:val="24"/>
        </w:rPr>
        <w:t xml:space="preserve">Congressional Budget Office (2011), “Trends in the Distribution of Household Income Between 1979 and 2007”, US government Printing Press: Washington DC. Available online at </w:t>
      </w:r>
      <w:hyperlink r:id="rId10" w:history="1">
        <w:r w:rsidRPr="001F5445">
          <w:rPr>
            <w:rFonts w:ascii="Times New Roman" w:eastAsia="Times New Roman" w:hAnsi="Times New Roman" w:cs="Times New Roman"/>
            <w:color w:val="0000FF"/>
            <w:sz w:val="24"/>
            <w:szCs w:val="24"/>
            <w:u w:val="single"/>
          </w:rPr>
          <w:t>http://www.cbo.gov/ftpdocs/124xx/doc12485/10-25-HouseholdIncome.pdf</w:t>
        </w:r>
      </w:hyperlink>
    </w:p>
    <w:p w:rsidR="001F5445" w:rsidRPr="001F5445" w:rsidRDefault="001F5445" w:rsidP="001F5445">
      <w:pPr>
        <w:spacing w:before="100" w:beforeAutospacing="1" w:after="100" w:afterAutospacing="1" w:line="319" w:lineRule="atLeast"/>
        <w:rPr>
          <w:rFonts w:ascii="Times New Roman" w:eastAsia="Times New Roman" w:hAnsi="Times New Roman" w:cs="Times New Roman"/>
          <w:sz w:val="24"/>
          <w:szCs w:val="24"/>
        </w:rPr>
      </w:pPr>
      <w:r w:rsidRPr="001F5445">
        <w:rPr>
          <w:rFonts w:ascii="Times New Roman" w:eastAsia="Times New Roman" w:hAnsi="Times New Roman" w:cs="Times New Roman"/>
          <w:sz w:val="24"/>
          <w:szCs w:val="24"/>
        </w:rPr>
        <w:t xml:space="preserve">Piketty, Thomas and Emmanuel </w:t>
      </w:r>
      <w:proofErr w:type="spellStart"/>
      <w:r w:rsidRPr="001F5445">
        <w:rPr>
          <w:rFonts w:ascii="Times New Roman" w:eastAsia="Times New Roman" w:hAnsi="Times New Roman" w:cs="Times New Roman"/>
          <w:sz w:val="24"/>
          <w:szCs w:val="24"/>
        </w:rPr>
        <w:t>Saez</w:t>
      </w:r>
      <w:proofErr w:type="spellEnd"/>
      <w:r w:rsidRPr="001F5445">
        <w:rPr>
          <w:rFonts w:ascii="Times New Roman" w:eastAsia="Times New Roman" w:hAnsi="Times New Roman" w:cs="Times New Roman"/>
          <w:sz w:val="24"/>
          <w:szCs w:val="24"/>
        </w:rPr>
        <w:t xml:space="preserve"> (2003), “Income Inequality in the United States, 1913-</w:t>
      </w:r>
      <w:bookmarkStart w:id="0" w:name="_GoBack"/>
      <w:bookmarkEnd w:id="0"/>
      <w:r w:rsidRPr="001F5445">
        <w:rPr>
          <w:rFonts w:ascii="Times New Roman" w:eastAsia="Times New Roman" w:hAnsi="Times New Roman" w:cs="Times New Roman"/>
          <w:sz w:val="24"/>
          <w:szCs w:val="24"/>
        </w:rPr>
        <w:t xml:space="preserve">1998”, </w:t>
      </w:r>
      <w:r w:rsidRPr="001F5445">
        <w:rPr>
          <w:rFonts w:ascii="Times New Roman" w:eastAsia="Times New Roman" w:hAnsi="Times New Roman" w:cs="Times New Roman"/>
          <w:i/>
          <w:iCs/>
          <w:sz w:val="24"/>
          <w:szCs w:val="24"/>
        </w:rPr>
        <w:t>Quarterly Journal of Economics</w:t>
      </w:r>
      <w:r w:rsidRPr="001F5445">
        <w:rPr>
          <w:rFonts w:ascii="Times New Roman" w:eastAsia="Times New Roman" w:hAnsi="Times New Roman" w:cs="Times New Roman"/>
          <w:sz w:val="24"/>
          <w:szCs w:val="24"/>
        </w:rPr>
        <w:t xml:space="preserve">, 118(1):1-39, series updated to 2008 in July 2010, online at </w:t>
      </w:r>
      <w:hyperlink r:id="rId11" w:history="1">
        <w:r w:rsidRPr="001F5445">
          <w:rPr>
            <w:rFonts w:ascii="Times New Roman" w:eastAsia="Times New Roman" w:hAnsi="Times New Roman" w:cs="Times New Roman"/>
            <w:color w:val="0000FF"/>
            <w:sz w:val="24"/>
            <w:szCs w:val="24"/>
            <w:u w:val="single"/>
          </w:rPr>
          <w:t>http://elsa.berkeley.edu/~saez/</w:t>
        </w:r>
      </w:hyperlink>
    </w:p>
    <w:p w:rsidR="001F5445" w:rsidRPr="001F5445" w:rsidRDefault="001F5445" w:rsidP="001F5445">
      <w:pPr>
        <w:spacing w:before="100" w:beforeAutospacing="1" w:after="100" w:afterAutospacing="1" w:line="319" w:lineRule="atLeast"/>
        <w:rPr>
          <w:rFonts w:ascii="Times New Roman" w:eastAsia="Times New Roman" w:hAnsi="Times New Roman" w:cs="Times New Roman"/>
          <w:sz w:val="24"/>
          <w:szCs w:val="24"/>
        </w:rPr>
      </w:pPr>
      <w:r w:rsidRPr="001F5445">
        <w:rPr>
          <w:rFonts w:ascii="Times New Roman" w:eastAsia="Times New Roman" w:hAnsi="Times New Roman" w:cs="Times New Roman"/>
          <w:sz w:val="24"/>
          <w:szCs w:val="24"/>
        </w:rPr>
        <w:t xml:space="preserve">Piketty, Thomas, Emmanuel </w:t>
      </w:r>
      <w:proofErr w:type="spellStart"/>
      <w:r w:rsidRPr="001F5445">
        <w:rPr>
          <w:rFonts w:ascii="Times New Roman" w:eastAsia="Times New Roman" w:hAnsi="Times New Roman" w:cs="Times New Roman"/>
          <w:sz w:val="24"/>
          <w:szCs w:val="24"/>
        </w:rPr>
        <w:t>Saez</w:t>
      </w:r>
      <w:proofErr w:type="spellEnd"/>
      <w:r w:rsidRPr="001F5445">
        <w:rPr>
          <w:rFonts w:ascii="Times New Roman" w:eastAsia="Times New Roman" w:hAnsi="Times New Roman" w:cs="Times New Roman"/>
          <w:sz w:val="24"/>
          <w:szCs w:val="24"/>
        </w:rPr>
        <w:t xml:space="preserve">, and Stefanie </w:t>
      </w:r>
      <w:proofErr w:type="spellStart"/>
      <w:r w:rsidRPr="001F5445">
        <w:rPr>
          <w:rFonts w:ascii="Times New Roman" w:eastAsia="Times New Roman" w:hAnsi="Times New Roman" w:cs="Times New Roman"/>
          <w:sz w:val="24"/>
          <w:szCs w:val="24"/>
        </w:rPr>
        <w:t>Stantcheva</w:t>
      </w:r>
      <w:proofErr w:type="spellEnd"/>
      <w:r w:rsidRPr="001F5445">
        <w:rPr>
          <w:rFonts w:ascii="Times New Roman" w:eastAsia="Times New Roman" w:hAnsi="Times New Roman" w:cs="Times New Roman"/>
          <w:sz w:val="24"/>
          <w:szCs w:val="24"/>
        </w:rPr>
        <w:t xml:space="preserve"> (2011), "</w:t>
      </w:r>
      <w:hyperlink r:id="rId12" w:history="1">
        <w:r w:rsidRPr="001F5445">
          <w:rPr>
            <w:rFonts w:ascii="Times New Roman" w:eastAsia="Times New Roman" w:hAnsi="Times New Roman" w:cs="Times New Roman"/>
            <w:color w:val="0000FF"/>
            <w:sz w:val="24"/>
            <w:szCs w:val="24"/>
            <w:u w:val="single"/>
          </w:rPr>
          <w:t>Optimal Taxation of Top Labor Incomes: A Tale of Three Elasticities</w:t>
        </w:r>
      </w:hyperlink>
      <w:r w:rsidRPr="001F5445">
        <w:rPr>
          <w:rFonts w:ascii="Times New Roman" w:eastAsia="Times New Roman" w:hAnsi="Times New Roman" w:cs="Times New Roman"/>
          <w:sz w:val="24"/>
          <w:szCs w:val="24"/>
        </w:rPr>
        <w:t>", CEPR Discussion Paper 8675, December.</w:t>
      </w:r>
    </w:p>
    <w:p w:rsidR="001F5445" w:rsidRPr="001F5445" w:rsidRDefault="001F5445" w:rsidP="001F5445">
      <w:pPr>
        <w:spacing w:before="100" w:beforeAutospacing="1" w:after="100" w:afterAutospacing="1" w:line="319" w:lineRule="atLeast"/>
        <w:rPr>
          <w:rFonts w:ascii="Times New Roman" w:eastAsia="Times New Roman" w:hAnsi="Times New Roman" w:cs="Times New Roman"/>
          <w:sz w:val="24"/>
          <w:szCs w:val="24"/>
        </w:rPr>
      </w:pPr>
      <w:r w:rsidRPr="001F5445">
        <w:rPr>
          <w:rFonts w:ascii="Times New Roman" w:eastAsia="Times New Roman" w:hAnsi="Times New Roman" w:cs="Times New Roman"/>
          <w:sz w:val="24"/>
          <w:szCs w:val="24"/>
        </w:rPr>
        <w:t xml:space="preserve">The World Top Incomes Database (F </w:t>
      </w:r>
      <w:proofErr w:type="spellStart"/>
      <w:r w:rsidRPr="001F5445">
        <w:rPr>
          <w:rFonts w:ascii="Times New Roman" w:eastAsia="Times New Roman" w:hAnsi="Times New Roman" w:cs="Times New Roman"/>
          <w:sz w:val="24"/>
          <w:szCs w:val="24"/>
        </w:rPr>
        <w:t>Alvaredo</w:t>
      </w:r>
      <w:proofErr w:type="spellEnd"/>
      <w:r w:rsidRPr="001F5445">
        <w:rPr>
          <w:rFonts w:ascii="Times New Roman" w:eastAsia="Times New Roman" w:hAnsi="Times New Roman" w:cs="Times New Roman"/>
          <w:sz w:val="24"/>
          <w:szCs w:val="24"/>
        </w:rPr>
        <w:t xml:space="preserve">, T Atkinson, T Piketty, and E </w:t>
      </w:r>
      <w:proofErr w:type="spellStart"/>
      <w:r w:rsidRPr="001F5445">
        <w:rPr>
          <w:rFonts w:ascii="Times New Roman" w:eastAsia="Times New Roman" w:hAnsi="Times New Roman" w:cs="Times New Roman"/>
          <w:sz w:val="24"/>
          <w:szCs w:val="24"/>
        </w:rPr>
        <w:t>Saez</w:t>
      </w:r>
      <w:proofErr w:type="spellEnd"/>
      <w:r w:rsidRPr="001F5445">
        <w:rPr>
          <w:rFonts w:ascii="Times New Roman" w:eastAsia="Times New Roman" w:hAnsi="Times New Roman" w:cs="Times New Roman"/>
          <w:sz w:val="24"/>
          <w:szCs w:val="24"/>
        </w:rPr>
        <w:t xml:space="preserve">), online at </w:t>
      </w:r>
      <w:hyperlink r:id="rId13" w:history="1">
        <w:r w:rsidRPr="001F5445">
          <w:rPr>
            <w:rFonts w:ascii="Times New Roman" w:eastAsia="Times New Roman" w:hAnsi="Times New Roman" w:cs="Times New Roman"/>
            <w:color w:val="0000FF"/>
            <w:sz w:val="24"/>
            <w:szCs w:val="24"/>
            <w:u w:val="single"/>
          </w:rPr>
          <w:t>http://g-mond.parisschoolofeconomics.eu/topincomes/</w:t>
        </w:r>
      </w:hyperlink>
    </w:p>
    <w:p w:rsidR="001F5445" w:rsidRPr="001F5445" w:rsidRDefault="001F5445" w:rsidP="001F5445">
      <w:pPr>
        <w:spacing w:after="0" w:line="240" w:lineRule="auto"/>
        <w:rPr>
          <w:rFonts w:ascii="Times New Roman" w:eastAsia="Times New Roman" w:hAnsi="Times New Roman" w:cs="Times New Roman"/>
          <w:sz w:val="24"/>
          <w:szCs w:val="24"/>
        </w:rPr>
      </w:pPr>
      <w:r w:rsidRPr="001F5445">
        <w:rPr>
          <w:rFonts w:ascii="Times New Roman" w:eastAsia="Times New Roman" w:hAnsi="Times New Roman" w:cs="Times New Roman"/>
          <w:sz w:val="24"/>
          <w:szCs w:val="24"/>
        </w:rPr>
        <w:pict>
          <v:rect id="_x0000_i1027" style="width:0;height:1.5pt" o:hralign="center" o:hrstd="t" o:hr="t" fillcolor="#a0a0a0" stroked="f"/>
        </w:pict>
      </w:r>
    </w:p>
    <w:p w:rsidR="0064534F" w:rsidRDefault="001F5445" w:rsidP="001F5445">
      <w:pPr>
        <w:spacing w:before="100" w:beforeAutospacing="1" w:after="100" w:afterAutospacing="1" w:line="319" w:lineRule="atLeast"/>
      </w:pPr>
      <w:bookmarkStart w:id="1" w:name="fn1"/>
      <w:r w:rsidRPr="001F5445">
        <w:rPr>
          <w:rFonts w:ascii="Times New Roman" w:eastAsia="Times New Roman" w:hAnsi="Times New Roman" w:cs="Times New Roman"/>
          <w:sz w:val="24"/>
          <w:szCs w:val="24"/>
          <w:vertAlign w:val="superscript"/>
        </w:rPr>
        <w:lastRenderedPageBreak/>
        <w:t>1</w:t>
      </w:r>
      <w:bookmarkEnd w:id="1"/>
      <w:r w:rsidRPr="001F5445">
        <w:rPr>
          <w:rFonts w:ascii="Times New Roman" w:eastAsia="Times New Roman" w:hAnsi="Times New Roman" w:cs="Times New Roman"/>
          <w:sz w:val="24"/>
          <w:szCs w:val="24"/>
        </w:rPr>
        <w:t xml:space="preserve"> This calculation assumes that the top 1% income share is 20%. The top 1% income share peaked at 23.5% in 2007, and then fell to 21% in 2008 and 18% in 2009, at the trough of the recession. In 2010 and 2011, the top 1% income share is very likely to increase again to 20%. Total market income reported for tax purposes is about 60% of GDP (on average from 1999 to 2008). Hence, increasing the top 1% average tax rate by 22.5 points raises .6*.225*.2=2.7% of GDP, or $405 billion given the current 2011 GDP of $15 trillion.</w:t>
      </w:r>
    </w:p>
    <w:sectPr w:rsidR="00645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A0DB7"/>
    <w:multiLevelType w:val="multilevel"/>
    <w:tmpl w:val="99F4C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445"/>
    <w:rsid w:val="001F5445"/>
    <w:rsid w:val="00BE7713"/>
    <w:rsid w:val="00FC3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54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F54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4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F544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F5445"/>
    <w:rPr>
      <w:color w:val="0000FF"/>
      <w:u w:val="single"/>
    </w:rPr>
  </w:style>
  <w:style w:type="character" w:customStyle="1" w:styleId="site-title-second">
    <w:name w:val="site-title-second"/>
    <w:basedOn w:val="DefaultParagraphFont"/>
    <w:rsid w:val="001F5445"/>
  </w:style>
  <w:style w:type="paragraph" w:styleId="NormalWeb">
    <w:name w:val="Normal (Web)"/>
    <w:basedOn w:val="Normal"/>
    <w:uiPriority w:val="99"/>
    <w:semiHidden/>
    <w:unhideWhenUsed/>
    <w:rsid w:val="001F544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F544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F544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F544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F5445"/>
    <w:rPr>
      <w:rFonts w:ascii="Arial" w:eastAsia="Times New Roman" w:hAnsi="Arial" w:cs="Arial"/>
      <w:vanish/>
      <w:sz w:val="16"/>
      <w:szCs w:val="16"/>
    </w:rPr>
  </w:style>
  <w:style w:type="character" w:styleId="Strong">
    <w:name w:val="Strong"/>
    <w:basedOn w:val="DefaultParagraphFont"/>
    <w:uiPriority w:val="22"/>
    <w:qFormat/>
    <w:rsid w:val="001F5445"/>
    <w:rPr>
      <w:b/>
      <w:bCs/>
    </w:rPr>
  </w:style>
  <w:style w:type="character" w:customStyle="1" w:styleId="date-display-single">
    <w:name w:val="date-display-single"/>
    <w:basedOn w:val="DefaultParagraphFont"/>
    <w:rsid w:val="001F5445"/>
  </w:style>
  <w:style w:type="character" w:customStyle="1" w:styleId="ata11y">
    <w:name w:val="at_a11y"/>
    <w:basedOn w:val="DefaultParagraphFont"/>
    <w:rsid w:val="001F5445"/>
  </w:style>
  <w:style w:type="character" w:styleId="Emphasis">
    <w:name w:val="Emphasis"/>
    <w:basedOn w:val="DefaultParagraphFont"/>
    <w:uiPriority w:val="20"/>
    <w:qFormat/>
    <w:rsid w:val="001F5445"/>
    <w:rPr>
      <w:i/>
      <w:iCs/>
    </w:rPr>
  </w:style>
  <w:style w:type="paragraph" w:styleId="BalloonText">
    <w:name w:val="Balloon Text"/>
    <w:basedOn w:val="Normal"/>
    <w:link w:val="BalloonTextChar"/>
    <w:uiPriority w:val="99"/>
    <w:semiHidden/>
    <w:unhideWhenUsed/>
    <w:rsid w:val="001F54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4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54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F54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4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F544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F5445"/>
    <w:rPr>
      <w:color w:val="0000FF"/>
      <w:u w:val="single"/>
    </w:rPr>
  </w:style>
  <w:style w:type="character" w:customStyle="1" w:styleId="site-title-second">
    <w:name w:val="site-title-second"/>
    <w:basedOn w:val="DefaultParagraphFont"/>
    <w:rsid w:val="001F5445"/>
  </w:style>
  <w:style w:type="paragraph" w:styleId="NormalWeb">
    <w:name w:val="Normal (Web)"/>
    <w:basedOn w:val="Normal"/>
    <w:uiPriority w:val="99"/>
    <w:semiHidden/>
    <w:unhideWhenUsed/>
    <w:rsid w:val="001F544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F544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F544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F544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F5445"/>
    <w:rPr>
      <w:rFonts w:ascii="Arial" w:eastAsia="Times New Roman" w:hAnsi="Arial" w:cs="Arial"/>
      <w:vanish/>
      <w:sz w:val="16"/>
      <w:szCs w:val="16"/>
    </w:rPr>
  </w:style>
  <w:style w:type="character" w:styleId="Strong">
    <w:name w:val="Strong"/>
    <w:basedOn w:val="DefaultParagraphFont"/>
    <w:uiPriority w:val="22"/>
    <w:qFormat/>
    <w:rsid w:val="001F5445"/>
    <w:rPr>
      <w:b/>
      <w:bCs/>
    </w:rPr>
  </w:style>
  <w:style w:type="character" w:customStyle="1" w:styleId="date-display-single">
    <w:name w:val="date-display-single"/>
    <w:basedOn w:val="DefaultParagraphFont"/>
    <w:rsid w:val="001F5445"/>
  </w:style>
  <w:style w:type="character" w:customStyle="1" w:styleId="ata11y">
    <w:name w:val="at_a11y"/>
    <w:basedOn w:val="DefaultParagraphFont"/>
    <w:rsid w:val="001F5445"/>
  </w:style>
  <w:style w:type="character" w:styleId="Emphasis">
    <w:name w:val="Emphasis"/>
    <w:basedOn w:val="DefaultParagraphFont"/>
    <w:uiPriority w:val="20"/>
    <w:qFormat/>
    <w:rsid w:val="001F5445"/>
    <w:rPr>
      <w:i/>
      <w:iCs/>
    </w:rPr>
  </w:style>
  <w:style w:type="paragraph" w:styleId="BalloonText">
    <w:name w:val="Balloon Text"/>
    <w:basedOn w:val="Normal"/>
    <w:link w:val="BalloonTextChar"/>
    <w:uiPriority w:val="99"/>
    <w:semiHidden/>
    <w:unhideWhenUsed/>
    <w:rsid w:val="001F54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4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3088137">
      <w:bodyDiv w:val="1"/>
      <w:marLeft w:val="0"/>
      <w:marRight w:val="0"/>
      <w:marTop w:val="0"/>
      <w:marBottom w:val="0"/>
      <w:divBdr>
        <w:top w:val="none" w:sz="0" w:space="0" w:color="auto"/>
        <w:left w:val="none" w:sz="0" w:space="0" w:color="auto"/>
        <w:bottom w:val="none" w:sz="0" w:space="0" w:color="auto"/>
        <w:right w:val="none" w:sz="0" w:space="0" w:color="auto"/>
      </w:divBdr>
      <w:divsChild>
        <w:div w:id="844395475">
          <w:marLeft w:val="0"/>
          <w:marRight w:val="0"/>
          <w:marTop w:val="0"/>
          <w:marBottom w:val="0"/>
          <w:divBdr>
            <w:top w:val="none" w:sz="0" w:space="0" w:color="auto"/>
            <w:left w:val="none" w:sz="0" w:space="0" w:color="auto"/>
            <w:bottom w:val="none" w:sz="0" w:space="0" w:color="auto"/>
            <w:right w:val="none" w:sz="0" w:space="0" w:color="auto"/>
          </w:divBdr>
          <w:divsChild>
            <w:div w:id="202180835">
              <w:marLeft w:val="0"/>
              <w:marRight w:val="0"/>
              <w:marTop w:val="0"/>
              <w:marBottom w:val="0"/>
              <w:divBdr>
                <w:top w:val="none" w:sz="0" w:space="0" w:color="auto"/>
                <w:left w:val="none" w:sz="0" w:space="0" w:color="auto"/>
                <w:bottom w:val="none" w:sz="0" w:space="0" w:color="auto"/>
                <w:right w:val="none" w:sz="0" w:space="0" w:color="auto"/>
              </w:divBdr>
              <w:divsChild>
                <w:div w:id="969166016">
                  <w:marLeft w:val="0"/>
                  <w:marRight w:val="0"/>
                  <w:marTop w:val="0"/>
                  <w:marBottom w:val="0"/>
                  <w:divBdr>
                    <w:top w:val="none" w:sz="0" w:space="0" w:color="auto"/>
                    <w:left w:val="none" w:sz="0" w:space="0" w:color="auto"/>
                    <w:bottom w:val="none" w:sz="0" w:space="0" w:color="auto"/>
                    <w:right w:val="none" w:sz="0" w:space="0" w:color="auto"/>
                  </w:divBdr>
                  <w:divsChild>
                    <w:div w:id="566497376">
                      <w:marLeft w:val="0"/>
                      <w:marRight w:val="0"/>
                      <w:marTop w:val="0"/>
                      <w:marBottom w:val="0"/>
                      <w:divBdr>
                        <w:top w:val="none" w:sz="0" w:space="0" w:color="auto"/>
                        <w:left w:val="none" w:sz="0" w:space="0" w:color="auto"/>
                        <w:bottom w:val="none" w:sz="0" w:space="0" w:color="auto"/>
                        <w:right w:val="none" w:sz="0" w:space="0" w:color="auto"/>
                      </w:divBdr>
                      <w:divsChild>
                        <w:div w:id="76027166">
                          <w:marLeft w:val="0"/>
                          <w:marRight w:val="0"/>
                          <w:marTop w:val="0"/>
                          <w:marBottom w:val="0"/>
                          <w:divBdr>
                            <w:top w:val="none" w:sz="0" w:space="0" w:color="auto"/>
                            <w:left w:val="none" w:sz="0" w:space="0" w:color="auto"/>
                            <w:bottom w:val="none" w:sz="0" w:space="0" w:color="auto"/>
                            <w:right w:val="none" w:sz="0" w:space="0" w:color="auto"/>
                          </w:divBdr>
                          <w:divsChild>
                            <w:div w:id="111798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849942">
              <w:marLeft w:val="0"/>
              <w:marRight w:val="0"/>
              <w:marTop w:val="0"/>
              <w:marBottom w:val="0"/>
              <w:divBdr>
                <w:top w:val="none" w:sz="0" w:space="0" w:color="auto"/>
                <w:left w:val="none" w:sz="0" w:space="0" w:color="auto"/>
                <w:bottom w:val="none" w:sz="0" w:space="0" w:color="auto"/>
                <w:right w:val="none" w:sz="0" w:space="0" w:color="auto"/>
              </w:divBdr>
            </w:div>
          </w:divsChild>
        </w:div>
        <w:div w:id="386884083">
          <w:marLeft w:val="0"/>
          <w:marRight w:val="0"/>
          <w:marTop w:val="0"/>
          <w:marBottom w:val="0"/>
          <w:divBdr>
            <w:top w:val="none" w:sz="0" w:space="0" w:color="auto"/>
            <w:left w:val="none" w:sz="0" w:space="0" w:color="auto"/>
            <w:bottom w:val="none" w:sz="0" w:space="0" w:color="auto"/>
            <w:right w:val="none" w:sz="0" w:space="0" w:color="auto"/>
          </w:divBdr>
          <w:divsChild>
            <w:div w:id="1839688769">
              <w:marLeft w:val="0"/>
              <w:marRight w:val="0"/>
              <w:marTop w:val="0"/>
              <w:marBottom w:val="0"/>
              <w:divBdr>
                <w:top w:val="none" w:sz="0" w:space="0" w:color="auto"/>
                <w:left w:val="none" w:sz="0" w:space="0" w:color="auto"/>
                <w:bottom w:val="none" w:sz="0" w:space="0" w:color="auto"/>
                <w:right w:val="none" w:sz="0" w:space="0" w:color="auto"/>
              </w:divBdr>
              <w:divsChild>
                <w:div w:id="1094201674">
                  <w:marLeft w:val="0"/>
                  <w:marRight w:val="0"/>
                  <w:marTop w:val="0"/>
                  <w:marBottom w:val="0"/>
                  <w:divBdr>
                    <w:top w:val="none" w:sz="0" w:space="0" w:color="auto"/>
                    <w:left w:val="none" w:sz="0" w:space="0" w:color="auto"/>
                    <w:bottom w:val="none" w:sz="0" w:space="0" w:color="auto"/>
                    <w:right w:val="none" w:sz="0" w:space="0" w:color="auto"/>
                  </w:divBdr>
                  <w:divsChild>
                    <w:div w:id="1267081240">
                      <w:marLeft w:val="0"/>
                      <w:marRight w:val="0"/>
                      <w:marTop w:val="0"/>
                      <w:marBottom w:val="0"/>
                      <w:divBdr>
                        <w:top w:val="none" w:sz="0" w:space="0" w:color="auto"/>
                        <w:left w:val="none" w:sz="0" w:space="0" w:color="auto"/>
                        <w:bottom w:val="none" w:sz="0" w:space="0" w:color="auto"/>
                        <w:right w:val="none" w:sz="0" w:space="0" w:color="auto"/>
                      </w:divBdr>
                      <w:divsChild>
                        <w:div w:id="162165983">
                          <w:marLeft w:val="0"/>
                          <w:marRight w:val="0"/>
                          <w:marTop w:val="0"/>
                          <w:marBottom w:val="0"/>
                          <w:divBdr>
                            <w:top w:val="none" w:sz="0" w:space="0" w:color="auto"/>
                            <w:left w:val="none" w:sz="0" w:space="0" w:color="auto"/>
                            <w:bottom w:val="none" w:sz="0" w:space="0" w:color="auto"/>
                            <w:right w:val="none" w:sz="0" w:space="0" w:color="auto"/>
                          </w:divBdr>
                          <w:divsChild>
                            <w:div w:id="1184436902">
                              <w:marLeft w:val="0"/>
                              <w:marRight w:val="0"/>
                              <w:marTop w:val="0"/>
                              <w:marBottom w:val="0"/>
                              <w:divBdr>
                                <w:top w:val="none" w:sz="0" w:space="0" w:color="auto"/>
                                <w:left w:val="none" w:sz="0" w:space="0" w:color="auto"/>
                                <w:bottom w:val="none" w:sz="0" w:space="0" w:color="auto"/>
                                <w:right w:val="none" w:sz="0" w:space="0" w:color="auto"/>
                              </w:divBdr>
                              <w:divsChild>
                                <w:div w:id="305359846">
                                  <w:marLeft w:val="0"/>
                                  <w:marRight w:val="0"/>
                                  <w:marTop w:val="0"/>
                                  <w:marBottom w:val="0"/>
                                  <w:divBdr>
                                    <w:top w:val="none" w:sz="0" w:space="0" w:color="auto"/>
                                    <w:left w:val="none" w:sz="0" w:space="0" w:color="auto"/>
                                    <w:bottom w:val="none" w:sz="0" w:space="0" w:color="auto"/>
                                    <w:right w:val="none" w:sz="0" w:space="0" w:color="auto"/>
                                  </w:divBdr>
                                </w:div>
                                <w:div w:id="332495203">
                                  <w:marLeft w:val="0"/>
                                  <w:marRight w:val="0"/>
                                  <w:marTop w:val="0"/>
                                  <w:marBottom w:val="0"/>
                                  <w:divBdr>
                                    <w:top w:val="none" w:sz="0" w:space="0" w:color="auto"/>
                                    <w:left w:val="none" w:sz="0" w:space="0" w:color="auto"/>
                                    <w:bottom w:val="none" w:sz="0" w:space="0" w:color="auto"/>
                                    <w:right w:val="none" w:sz="0" w:space="0" w:color="auto"/>
                                  </w:divBdr>
                                  <w:divsChild>
                                    <w:div w:id="1407730876">
                                      <w:marLeft w:val="0"/>
                                      <w:marRight w:val="0"/>
                                      <w:marTop w:val="0"/>
                                      <w:marBottom w:val="0"/>
                                      <w:divBdr>
                                        <w:top w:val="none" w:sz="0" w:space="0" w:color="auto"/>
                                        <w:left w:val="none" w:sz="0" w:space="0" w:color="auto"/>
                                        <w:bottom w:val="none" w:sz="0" w:space="0" w:color="auto"/>
                                        <w:right w:val="none" w:sz="0" w:space="0" w:color="auto"/>
                                      </w:divBdr>
                                      <w:divsChild>
                                        <w:div w:id="55011324">
                                          <w:marLeft w:val="0"/>
                                          <w:marRight w:val="0"/>
                                          <w:marTop w:val="0"/>
                                          <w:marBottom w:val="0"/>
                                          <w:divBdr>
                                            <w:top w:val="none" w:sz="0" w:space="0" w:color="auto"/>
                                            <w:left w:val="none" w:sz="0" w:space="0" w:color="auto"/>
                                            <w:bottom w:val="none" w:sz="0" w:space="0" w:color="auto"/>
                                            <w:right w:val="none" w:sz="0" w:space="0" w:color="auto"/>
                                          </w:divBdr>
                                        </w:div>
                                      </w:divsChild>
                                    </w:div>
                                    <w:div w:id="1823958257">
                                      <w:marLeft w:val="0"/>
                                      <w:marRight w:val="0"/>
                                      <w:marTop w:val="0"/>
                                      <w:marBottom w:val="0"/>
                                      <w:divBdr>
                                        <w:top w:val="none" w:sz="0" w:space="0" w:color="auto"/>
                                        <w:left w:val="none" w:sz="0" w:space="0" w:color="auto"/>
                                        <w:bottom w:val="none" w:sz="0" w:space="0" w:color="auto"/>
                                        <w:right w:val="none" w:sz="0" w:space="0" w:color="auto"/>
                                      </w:divBdr>
                                    </w:div>
                                  </w:divsChild>
                                </w:div>
                                <w:div w:id="1858419390">
                                  <w:marLeft w:val="0"/>
                                  <w:marRight w:val="0"/>
                                  <w:marTop w:val="0"/>
                                  <w:marBottom w:val="0"/>
                                  <w:divBdr>
                                    <w:top w:val="none" w:sz="0" w:space="0" w:color="auto"/>
                                    <w:left w:val="none" w:sz="0" w:space="0" w:color="auto"/>
                                    <w:bottom w:val="none" w:sz="0" w:space="0" w:color="auto"/>
                                    <w:right w:val="none" w:sz="0" w:space="0" w:color="auto"/>
                                  </w:divBdr>
                                  <w:divsChild>
                                    <w:div w:id="1748452923">
                                      <w:marLeft w:val="0"/>
                                      <w:marRight w:val="0"/>
                                      <w:marTop w:val="0"/>
                                      <w:marBottom w:val="0"/>
                                      <w:divBdr>
                                        <w:top w:val="none" w:sz="0" w:space="0" w:color="auto"/>
                                        <w:left w:val="none" w:sz="0" w:space="0" w:color="auto"/>
                                        <w:bottom w:val="none" w:sz="0" w:space="0" w:color="auto"/>
                                        <w:right w:val="none" w:sz="0" w:space="0" w:color="auto"/>
                                      </w:divBdr>
                                      <w:divsChild>
                                        <w:div w:id="18829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3407">
                                  <w:marLeft w:val="0"/>
                                  <w:marRight w:val="0"/>
                                  <w:marTop w:val="0"/>
                                  <w:marBottom w:val="0"/>
                                  <w:divBdr>
                                    <w:top w:val="none" w:sz="0" w:space="0" w:color="auto"/>
                                    <w:left w:val="none" w:sz="0" w:space="0" w:color="auto"/>
                                    <w:bottom w:val="none" w:sz="0" w:space="0" w:color="auto"/>
                                    <w:right w:val="none" w:sz="0" w:space="0" w:color="auto"/>
                                  </w:divBdr>
                                  <w:divsChild>
                                    <w:div w:id="424159187">
                                      <w:marLeft w:val="0"/>
                                      <w:marRight w:val="0"/>
                                      <w:marTop w:val="0"/>
                                      <w:marBottom w:val="0"/>
                                      <w:divBdr>
                                        <w:top w:val="none" w:sz="0" w:space="0" w:color="auto"/>
                                        <w:left w:val="none" w:sz="0" w:space="0" w:color="auto"/>
                                        <w:bottom w:val="none" w:sz="0" w:space="0" w:color="auto"/>
                                        <w:right w:val="none" w:sz="0" w:space="0" w:color="auto"/>
                                      </w:divBdr>
                                      <w:divsChild>
                                        <w:div w:id="492524931">
                                          <w:marLeft w:val="0"/>
                                          <w:marRight w:val="0"/>
                                          <w:marTop w:val="0"/>
                                          <w:marBottom w:val="0"/>
                                          <w:divBdr>
                                            <w:top w:val="none" w:sz="0" w:space="0" w:color="auto"/>
                                            <w:left w:val="none" w:sz="0" w:space="0" w:color="auto"/>
                                            <w:bottom w:val="none" w:sz="0" w:space="0" w:color="auto"/>
                                            <w:right w:val="none" w:sz="0" w:space="0" w:color="auto"/>
                                          </w:divBdr>
                                        </w:div>
                                      </w:divsChild>
                                    </w:div>
                                    <w:div w:id="17031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g-mond.parisschoolofeconomics.eu/topincomes/" TargetMode="External"/><Relationship Id="rId3" Type="http://schemas.microsoft.com/office/2007/relationships/stylesWithEffects" Target="stylesWithEffects.xml"/><Relationship Id="rId7" Type="http://schemas.openxmlformats.org/officeDocument/2006/relationships/hyperlink" Target="http://www.voxeu.org/index.php?q=node/7394" TargetMode="External"/><Relationship Id="rId12" Type="http://schemas.openxmlformats.org/officeDocument/2006/relationships/hyperlink" Target="http://www.voxeu.org/index.php?q=node/73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mond.parisschoolofeconomics.eu/topincomes/" TargetMode="External"/><Relationship Id="rId11" Type="http://schemas.openxmlformats.org/officeDocument/2006/relationships/hyperlink" Target="http://elsa.berkeley.edu/%7Esaez/"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bo.gov/ftpdocs/124xx/doc12485/10-25-HouseholdIncome.pdf"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1637</Words>
  <Characters>9332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Seidman, Laurence</dc:creator>
  <cp:lastModifiedBy>Seidman, Laurence</cp:lastModifiedBy>
  <cp:revision>1</cp:revision>
  <dcterms:created xsi:type="dcterms:W3CDTF">2015-08-21T17:47:00Z</dcterms:created>
  <dcterms:modified xsi:type="dcterms:W3CDTF">2015-08-21T17:50:00Z</dcterms:modified>
</cp:coreProperties>
</file>