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20"/>
              <w:left w:type="dxa" w:w="120"/>
              <w:bottom w:type="dxa" w:w="120"/>
              <w:right w:type="dxa" w:w="120"/>
            </w:tcMar>
            <w:vAlign w:val="center"/>
          </w:tcPr>
          <w:p>
            <w:r>
              <w:rPr>
                <w:b/>
                <w:bCs/>
                <w:sz w:val="30"/>
                <w:szCs w:val="30"/>
              </w:rPr>
              <w:t xml:space="preserve">Data Requirements Document</w:t>
            </w:r>
          </w:p>
        </w:tc>
        <w:tc>
          <w:tcPr>
            <w:tcW w:type="dxa" w:w="4680"/>
            <w:tcMar>
              <w:top w:type="dxa" w:w="120"/>
              <w:left w:type="dxa" w:w="120"/>
              <w:bottom w:type="dxa" w:w="120"/>
              <w:right w:type="dxa" w:w="120"/>
            </w:tcMar>
            <w:vAlign w:val="center"/>
          </w:tcPr>
          <w:p>
            <w:r>
              <w:rPr>
                <w:sz w:val="20"/>
                <w:szCs w:val="20"/>
              </w:rPr>
              <w:t xml:space="preserve">Project: OFAC Sanctions Screening Pipeline</w:t>
            </w:r>
          </w:p>
          <w:p>
            <w:r>
              <w:rPr>
                <w:sz w:val="20"/>
                <w:szCs w:val="20"/>
              </w:rPr>
              <w:t xml:space="preserve">Team: Individual portfolio project (Jonathan Jackson)</w:t>
            </w:r>
          </w:p>
          <w:p>
            <w:r>
              <w:rPr>
                <w:sz w:val="20"/>
                <w:szCs w:val="20"/>
              </w:rPr>
              <w:t xml:space="preserve">Date: 09/15/2026</w:t>
            </w:r>
          </w:p>
        </w:tc>
      </w:tr>
    </w:tbl>
    <w:p>
      <w:pPr>
        <w:spacing w:after="200"/>
      </w:pPr>
    </w:p>
    <w:p>
      <w:pPr>
        <w:spacing w:after="80" w:before="200"/>
      </w:pPr>
      <w:r>
        <w:rPr>
          <w:b/>
          <w:bCs/>
          <w:i/>
          <w:iCs/>
          <w:sz w:val="22"/>
          <w:szCs w:val="2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00"/>
        <w:gridCol w:w="3660"/>
      </w:tblGrid>
      <w:tr>
        <w:trPr>
          <w:tblHeader/>
        </w:trPr>
        <w:tc>
          <w:tcPr>
            <w:tcW w:type="dxa" w:w="1500"/>
            <w:shd w:fill="D9D9D9" w:val="clear"/>
            <w:tcMar>
              <w:top w:type="dxa" w:w="80"/>
              <w:left w:type="dxa" w:w="100"/>
              <w:bottom w:type="dxa" w:w="80"/>
              <w:right w:type="dxa" w:w="100"/>
            </w:tcMar>
            <w:vAlign w:val="center"/>
          </w:tcPr>
          <w:p>
            <w:r>
              <w:rPr>
                <w:b/>
                <w:bCs/>
                <w:sz w:val="20"/>
                <w:szCs w:val="20"/>
              </w:rPr>
              <w:t xml:space="preserve">Version</w:t>
            </w:r>
          </w:p>
        </w:tc>
        <w:tc>
          <w:tcPr>
            <w:tcW w:type="dxa" w:w="2400"/>
            <w:shd w:fill="D9D9D9" w:val="clear"/>
            <w:tcMar>
              <w:top w:type="dxa" w:w="80"/>
              <w:left w:type="dxa" w:w="100"/>
              <w:bottom w:type="dxa" w:w="80"/>
              <w:right w:type="dxa" w:w="100"/>
            </w:tcMar>
            <w:vAlign w:val="center"/>
          </w:tcPr>
          <w:p>
            <w:r>
              <w:rPr>
                <w:b/>
                <w:bCs/>
                <w:sz w:val="20"/>
                <w:szCs w:val="20"/>
              </w:rPr>
              <w:t xml:space="preserve">Author</w:t>
            </w:r>
          </w:p>
        </w:tc>
        <w:tc>
          <w:tcPr>
            <w:tcW w:type="dxa" w:w="1800"/>
            <w:shd w:fill="D9D9D9" w:val="clear"/>
            <w:tcMar>
              <w:top w:type="dxa" w:w="80"/>
              <w:left w:type="dxa" w:w="100"/>
              <w:bottom w:type="dxa" w:w="80"/>
              <w:right w:type="dxa" w:w="100"/>
            </w:tcMar>
            <w:vAlign w:val="center"/>
          </w:tcPr>
          <w:p>
            <w:r>
              <w:rPr>
                <w:b/>
                <w:bCs/>
                <w:sz w:val="20"/>
                <w:szCs w:val="20"/>
              </w:rPr>
              <w:t xml:space="preserve">Date</w:t>
            </w:r>
          </w:p>
        </w:tc>
        <w:tc>
          <w:tcPr>
            <w:tcW w:type="dxa" w:w="3660"/>
            <w:shd w:fill="D9D9D9" w:val="clear"/>
            <w:tcMar>
              <w:top w:type="dxa" w:w="80"/>
              <w:left w:type="dxa" w:w="100"/>
              <w:bottom w:type="dxa" w:w="80"/>
              <w:right w:type="dxa" w:w="100"/>
            </w:tcMar>
            <w:vAlign w:val="center"/>
          </w:tcPr>
          <w:p>
            <w:r>
              <w:rPr>
                <w:b/>
                <w:bCs/>
                <w:sz w:val="20"/>
                <w:szCs w:val="20"/>
              </w:rPr>
              <w:t xml:space="preserve">Comments</w:t>
            </w:r>
          </w:p>
        </w:tc>
      </w:tr>
      <w:tr>
        <w:tc>
          <w:tcPr>
            <w:tcW w:type="dxa" w:w="1500"/>
            <w:tcMar>
              <w:top w:type="dxa" w:w="80"/>
              <w:left w:type="dxa" w:w="100"/>
              <w:bottom w:type="dxa" w:w="80"/>
              <w:right w:type="dxa" w:w="100"/>
            </w:tcMar>
            <w:vAlign w:val="center"/>
          </w:tcPr>
          <w:p>
            <w:r>
              <w:rPr>
                <w:b w:val="false"/>
                <w:bCs w:val="false"/>
                <w:sz w:val="20"/>
                <w:szCs w:val="20"/>
              </w:rPr>
              <w:t xml:space="preserve">1.0</w:t>
            </w:r>
          </w:p>
        </w:tc>
        <w:tc>
          <w:tcPr>
            <w:tcW w:type="dxa" w:w="2400"/>
            <w:tcMar>
              <w:top w:type="dxa" w:w="80"/>
              <w:left w:type="dxa" w:w="100"/>
              <w:bottom w:type="dxa" w:w="80"/>
              <w:right w:type="dxa" w:w="100"/>
            </w:tcMar>
            <w:vAlign w:val="center"/>
          </w:tcPr>
          <w:p>
            <w:r>
              <w:rPr>
                <w:b w:val="false"/>
                <w:bCs w:val="false"/>
                <w:sz w:val="20"/>
                <w:szCs w:val="20"/>
              </w:rPr>
              <w:t xml:space="preserve">Jonathan Jackson</w:t>
            </w:r>
          </w:p>
        </w:tc>
        <w:tc>
          <w:tcPr>
            <w:tcW w:type="dxa" w:w="1800"/>
            <w:tcMar>
              <w:top w:type="dxa" w:w="80"/>
              <w:left w:type="dxa" w:w="100"/>
              <w:bottom w:type="dxa" w:w="80"/>
              <w:right w:type="dxa" w:w="100"/>
            </w:tcMar>
            <w:vAlign w:val="center"/>
          </w:tcPr>
          <w:p>
            <w:r>
              <w:rPr>
                <w:b w:val="false"/>
                <w:bCs w:val="false"/>
                <w:sz w:val="20"/>
                <w:szCs w:val="20"/>
              </w:rPr>
              <w:t xml:space="preserve">09/15/2026</w:t>
            </w:r>
          </w:p>
        </w:tc>
        <w:tc>
          <w:tcPr>
            <w:tcW w:type="dxa" w:w="3660"/>
            <w:tcMar>
              <w:top w:type="dxa" w:w="80"/>
              <w:left w:type="dxa" w:w="100"/>
              <w:bottom w:type="dxa" w:w="80"/>
              <w:right w:type="dxa" w:w="100"/>
            </w:tcMar>
            <w:vAlign w:val="center"/>
          </w:tcPr>
          <w:p>
            <w:r>
              <w:rPr>
                <w:b w:val="false"/>
                <w:bCs w:val="false"/>
                <w:sz w:val="20"/>
                <w:szCs w:val="20"/>
              </w:rPr>
              <w:t xml:space="preserve">Initial draft</w:t>
            </w:r>
          </w:p>
        </w:tc>
      </w:tr>
    </w:tbl>
    <w:p>
      <w:pPr>
        <w:spacing w:after="200"/>
      </w:pPr>
    </w:p>
    <w:p>
      <w:pPr>
        <w:spacing w:after="160"/>
      </w:pPr>
      <w:r>
        <w:rPr>
          <w:sz w:val="22"/>
          <w:szCs w:val="22"/>
        </w:rPr>
        <w:t xml:space="preserve">This document focuses on the problem definition, business objectives, and system and data requirements of the OFAC sanctions screening pipeline project.</w:t>
      </w:r>
    </w:p>
    <w:p>
      <w:pPr>
        <w:pStyle w:val="Heading1"/>
        <w:spacing w:after="120" w:before="320"/>
      </w:pPr>
      <w:r>
        <w:t xml:space="preserve">Project Background</w:t>
      </w:r>
    </w:p>
    <w:p>
      <w:pPr>
        <w:spacing w:after="160"/>
      </w:pPr>
      <w:r>
        <w:rPr>
          <w:sz w:val="22"/>
          <w:szCs w:val="22"/>
        </w:rPr>
        <w:t xml:space="preserve">This project builds an OFAC sanctions (SDN) screening pipeline: it pulls the U.S. Treasury's Specially Designated Nationals list from OFAC's Sanctions List Service (SLS) REST API, stores it in AWS RDS Postgres, and screens a set of customer names against it using fuzzy matching. Sanctions screening is a standard compliance control at banks, fintechs, and payment processors, run to prevent transactions with sanctioned individuals or entities.</w:t>
      </w:r>
    </w:p>
    <w:p>
      <w:pPr>
        <w:spacing w:after="160"/>
      </w:pPr>
      <w:r>
        <w:rPr>
          <w:sz w:val="22"/>
          <w:szCs w:val="22"/>
        </w:rPr>
        <w:t xml:space="preserve">This is an independent portfolio project rather than a company-sponsored initiative. The sole contributor is Jonathan Jackson, covering requirements, build, and testing. It is written and scoped as though for a compliance or customer-onboarding stakeholder group at a bank or fintech, since that is the audience this project is meant to demonstrate readiness for.</w:t>
      </w:r>
    </w:p>
    <w:p>
      <w:pPr>
        <w:spacing w:after="160"/>
      </w:pPr>
      <w:r>
        <w:rPr>
          <w:sz w:val="22"/>
          <w:szCs w:val="22"/>
        </w:rPr>
        <w:t xml:space="preserve">High-level solution: an Extract Lambda, not attached to any VPC, calls the SLS REST API and stages the raw response in S3. A Load and Match Lambda, running in a private subnet with no internet access, reads that staged file through a free S3 Gateway Endpoint, upserts SDN entity data into RDS Postgres over a private connection, then runs a fuzzy-matching job against a synthetic customer table and writes scored results to a matches table. Amazon EventBridge Scheduler triggers both on a daily schedule. GitHub Actions runs linting and automated tests on every push, and deploys both Lambda functions on merge to main.</w:t>
      </w:r>
    </w:p>
    <w:p>
      <w:pPr>
        <w:pStyle w:val="Heading1"/>
        <w:spacing w:after="120" w:before="320"/>
      </w:pPr>
      <w:r>
        <w:t xml:space="preserve">Problem Definition</w:t>
      </w:r>
    </w:p>
    <w:p>
      <w:pPr>
        <w:spacing w:after="160"/>
      </w:pPr>
      <w:r>
        <w:rPr>
          <w:sz w:val="22"/>
          <w:szCs w:val="22"/>
        </w:rPr>
        <w:t xml:space="preserve">Financial institutions are legally prohibited from transacting with individuals and entities on OFAC's SDN list. Without a reliable screening process, an institution risks processing transactions with sanctioned parties, whether through new customer onboarding, payments, or counterparty checks. OFAC publishes SDN updates roughly daily, so a screening process that is not kept in sync with the current list becomes stale almost immediately.</w:t>
      </w:r>
    </w:p>
    <w:p>
      <w:pPr>
        <w:spacing w:after="160"/>
      </w:pPr>
      <w:r>
        <w:rPr>
          <w:sz w:val="22"/>
          <w:szCs w:val="22"/>
        </w:rPr>
        <w:t xml:space="preserve">In a real institution, the consequences of not solving this problem range from civil and criminal penalties, to loss of banking licenses, to reputational damage severe enough to affect the institution's ability to operate. In this project's context, the absence of a working pipeline means there is no way to demonstrate the pattern it sets out to prove: reliable ingestion of an external data source into a queryable store, kept current, with a working detection layer on top.</w:t>
      </w:r>
    </w:p>
    <w:p>
      <w:pPr>
        <w:pStyle w:val="Heading1"/>
        <w:spacing w:after="120" w:before="320"/>
      </w:pPr>
      <w:r>
        <w:t xml:space="preserve">Business Objectives</w:t>
      </w:r>
    </w:p>
    <w:p>
      <w:pPr>
        <w:pStyle w:val="ListParagraph"/>
        <w:numPr>
          <w:ilvl w:val="0"/>
          <w:numId w:val="1"/>
        </w:numPr>
        <w:spacing w:after="80"/>
      </w:pPr>
      <w:r>
        <w:rPr>
          <w:sz w:val="22"/>
          <w:szCs w:val="22"/>
        </w:rPr>
        <w:t xml:space="preserve">Reduce the risk of transacting with sanctioned parties by maintaining an up-to-date, queryable copy of the SDN list.</w:t>
      </w:r>
    </w:p>
    <w:p>
      <w:pPr>
        <w:pStyle w:val="ListParagraph"/>
        <w:numPr>
          <w:ilvl w:val="0"/>
          <w:numId w:val="1"/>
        </w:numPr>
        <w:spacing w:after="80"/>
      </w:pPr>
      <w:r>
        <w:rPr>
          <w:sz w:val="22"/>
          <w:szCs w:val="22"/>
        </w:rPr>
        <w:t xml:space="preserve">Replace a manual or ad hoc list-checking process with an automatable, repeatable pipeline.</w:t>
      </w:r>
    </w:p>
    <w:p>
      <w:pPr>
        <w:pStyle w:val="ListParagraph"/>
        <w:numPr>
          <w:ilvl w:val="0"/>
          <w:numId w:val="1"/>
        </w:numPr>
        <w:spacing w:after="80"/>
      </w:pPr>
      <w:r>
        <w:rPr>
          <w:sz w:val="22"/>
          <w:szCs w:val="22"/>
        </w:rPr>
        <w:t xml:space="preserve">Demonstrate the ability to build a compliance-relevant data pipeline against a real external API and a cloud-hosted database, in support of a transition into a data engineering role at a financial services company.</w:t>
      </w:r>
    </w:p>
    <w:p>
      <w:pPr>
        <w:pStyle w:val="Heading1"/>
        <w:spacing w:after="120" w:before="320"/>
      </w:pPr>
      <w:r>
        <w:t xml:space="preserve">Functional Requirements</w:t>
      </w:r>
    </w:p>
    <w:p>
      <w:pPr>
        <w:spacing w:after="160"/>
      </w:pPr>
      <w:r>
        <w:rPr>
          <w:sz w:val="22"/>
          <w:szCs w:val="22"/>
        </w:rPr>
        <w:t xml:space="preserve">At the end state, the system:</w:t>
      </w:r>
    </w:p>
    <w:p>
      <w:pPr>
        <w:pStyle w:val="ListParagraph"/>
        <w:numPr>
          <w:ilvl w:val="0"/>
          <w:numId w:val="1"/>
        </w:numPr>
        <w:spacing w:after="80"/>
      </w:pPr>
      <w:r>
        <w:rPr>
          <w:sz w:val="22"/>
          <w:szCs w:val="22"/>
        </w:rPr>
        <w:t xml:space="preserve">Retrieves the current SDN entity list from the OFAC SLS REST API on a recurring schedule.</w:t>
      </w:r>
    </w:p>
    <w:p>
      <w:pPr>
        <w:pStyle w:val="ListParagraph"/>
        <w:numPr>
          <w:ilvl w:val="0"/>
          <w:numId w:val="1"/>
        </w:numPr>
        <w:spacing w:after="80"/>
      </w:pPr>
      <w:r>
        <w:rPr>
          <w:sz w:val="22"/>
          <w:szCs w:val="22"/>
        </w:rPr>
        <w:t xml:space="preserve">Persists SDN entities, aliases, and addresses in a normalized, queryable relational store.</w:t>
      </w:r>
    </w:p>
    <w:p>
      <w:pPr>
        <w:pStyle w:val="ListParagraph"/>
        <w:numPr>
          <w:ilvl w:val="0"/>
          <w:numId w:val="1"/>
        </w:numPr>
        <w:spacing w:after="80"/>
      </w:pPr>
      <w:r>
        <w:rPr>
          <w:sz w:val="22"/>
          <w:szCs w:val="22"/>
        </w:rPr>
        <w:t xml:space="preserve">Screens a customer name list against SDN entities and aliases using fuzzy string matching, and stores scored results.</w:t>
      </w:r>
    </w:p>
    <w:p>
      <w:pPr>
        <w:pStyle w:val="ListParagraph"/>
        <w:numPr>
          <w:ilvl w:val="0"/>
          <w:numId w:val="1"/>
        </w:numPr>
        <w:spacing w:after="80"/>
      </w:pPr>
      <w:r>
        <w:rPr>
          <w:sz w:val="22"/>
          <w:szCs w:val="22"/>
        </w:rPr>
        <w:t xml:space="preserve">Logs each pipeline run for auditability: what was pulled, what was loaded, and what matched.</w:t>
      </w:r>
    </w:p>
    <w:p>
      <w:pPr>
        <w:spacing w:after="160"/>
      </w:pPr>
      <w:r>
        <w:rPr>
          <w:sz w:val="22"/>
          <w:szCs w:val="22"/>
        </w:rPr>
        <w:t xml:space="preserve">This meets the business objectives by giving compliance-style stakeholders a working, current, and inspectable answer to “is this name on the SDN list,” which is the core of the manual process it is meant to replace.</w:t>
      </w:r>
    </w:p>
    <w:p>
      <w:pPr>
        <w:pStyle w:val="Heading1"/>
        <w:spacing w:after="120" w:before="320"/>
      </w:pPr>
      <w:r>
        <w:t xml:space="preserve">System Requirements</w:t>
      </w:r>
    </w:p>
    <w:p>
      <w:pPr>
        <w:spacing w:after="160"/>
      </w:pPr>
      <w:r>
        <w:rPr>
          <w:sz w:val="22"/>
          <w:szCs w:val="22"/>
        </w:rPr>
        <w:t xml:space="preserve">The Extract Lambda makes unauthenticated HTTP GET requests to the OFAC SLS REST API and writes the raw response to an S3 staging bucket; it is not attached to a VPC, so it has default internet access and no networking cost. The Load and Match Lambda runs in a private VPC subnet with no route to the internet, reads the staged file via a free S3 Gateway Endpoint, connects to RDS Postgres using IAM database authentication rather than a stored password, parses nested XML or JSON entity records into structured rows, upserts them using upsert semantics, runs a Python-based fuzzy-matching job, and writes a structured log of the run to a dedicated table. Amazon EventBridge Scheduler invokes both functions on the same daily schedule. A GitHub Actions workflow runs linting and the automated portion of the test suite (see Test Plan) on every push and pull request, and deploys both Lambda functions on merge to main using a role assumed via GitHub's OIDC provider rather than long-lived AWS credentials.</w:t>
      </w:r>
    </w:p>
    <w:p>
      <w:pPr>
        <w:pStyle w:val="Heading1"/>
        <w:spacing w:after="120" w:before="320"/>
      </w:pPr>
      <w:r>
        <w:t xml:space="preserve">Data Requirements</w:t>
      </w:r>
    </w:p>
    <w:p>
      <w:pPr>
        <w:spacing w:after="80" w:before="200"/>
      </w:pPr>
      <w:r>
        <w:rPr>
          <w:b/>
          <w:bCs/>
          <w:i/>
          <w:iCs/>
          <w:sz w:val="22"/>
          <w:szCs w:val="22"/>
        </w:rPr>
        <w:t xml:space="preserve">a. Data Sources and Formats</w:t>
      </w:r>
    </w:p>
    <w:p>
      <w:pPr>
        <w:spacing w:after="160"/>
      </w:pPr>
      <w:r>
        <w:rPr>
          <w:sz w:val="22"/>
          <w:szCs w:val="22"/>
        </w:rPr>
        <w:t xml:space="preserve">Single source: OFAC's Sanctions List Service REST API (sanctionslistservice.ofac.treas.gov). Data is collected in scheduled batches, not real time, primarily via GET /entities?list=SDN List, which the API documentation shows returning XML. Supporting calls: /sanctions-lists and /sanctions-programs for reference values, and /alive for a pre-flight health check.</w:t>
      </w:r>
    </w:p>
    <w:p>
      <w:pPr>
        <w:spacing w:after="80" w:before="200"/>
      </w:pPr>
      <w:r>
        <w:rPr>
          <w:b/>
          <w:bCs/>
          <w:i/>
          <w:iCs/>
          <w:sz w:val="22"/>
          <w:szCs w:val="22"/>
        </w:rPr>
        <w:t xml:space="preserve">b. Data Types</w:t>
      </w:r>
    </w:p>
    <w:p>
      <w:pPr>
        <w:spacing w:after="160"/>
      </w:pPr>
      <w:r>
        <w:rPr>
          <w:sz w:val="22"/>
          <w:szCs w:val="22"/>
        </w:rPr>
        <w:t xml:space="preserve">Entity ID (integer), name and alias text (string), name or alias type such as primary or A.K.A. (categorical), sanctions program (categorical, e.g. CUBA, SDGT, IRAN), address and country (string), birthdate (date, sometimes only a year or approximate range), gender (categorical), match score (numeric), pipeline run timestamps (datetime).</w:t>
      </w:r>
    </w:p>
    <w:p>
      <w:pPr>
        <w:spacing w:after="80" w:before="200"/>
      </w:pPr>
      <w:r>
        <w:rPr>
          <w:b/>
          <w:bCs/>
          <w:i/>
          <w:iCs/>
          <w:sz w:val="22"/>
          <w:szCs w:val="22"/>
        </w:rPr>
        <w:t xml:space="preserve">c. Data Storage</w:t>
      </w:r>
    </w:p>
    <w:p>
      <w:pPr>
        <w:spacing w:after="160"/>
      </w:pPr>
      <w:r>
        <w:rPr>
          <w:sz w:val="22"/>
          <w:szCs w:val="22"/>
        </w:rPr>
        <w:t xml:space="preserve">AWS RDS Postgres (relational), chosen because the core operations, joining customers to entities to aliases, are relational, and because standing up a real cloud-hosted database is one of the project's explicit goals. Tables: sdn_entities, sdn_aliases, sdn_addresses, customers (synthetic test data), screening_matches, and pipeline_runs.</w:t>
      </w:r>
    </w:p>
    <w:p>
      <w:pPr>
        <w:spacing w:after="80" w:before="200"/>
      </w:pPr>
      <w:r>
        <w:rPr>
          <w:b/>
          <w:bCs/>
          <w:i/>
          <w:iCs/>
          <w:sz w:val="22"/>
          <w:szCs w:val="22"/>
        </w:rPr>
        <w:t xml:space="preserve">d. Data Processing</w:t>
      </w:r>
    </w:p>
    <w:p>
      <w:pPr>
        <w:spacing w:after="160"/>
      </w:pPr>
      <w:r>
        <w:rPr>
          <w:sz w:val="22"/>
          <w:szCs w:val="22"/>
        </w:rPr>
        <w:t xml:space="preserve">Parse each entity's nested names, aliases, addresses, and features out of the API response into normalized rows. Normalize name text (case, punctuation, corporate suffixes) before matching. Upsert entity, alias, and address rows on OFAC's own ent_num, so a re-run updates and adds records without duplicating stale ones. Run fuzzy string matching (rapidfuzz) of customer names against entity and alias names, writing results above a score threshold.</w:t>
      </w:r>
    </w:p>
    <w:p>
      <w:pPr>
        <w:spacing w:after="80" w:before="200"/>
      </w:pPr>
      <w:r>
        <w:rPr>
          <w:b/>
          <w:bCs/>
          <w:i/>
          <w:iCs/>
          <w:sz w:val="22"/>
          <w:szCs w:val="22"/>
        </w:rPr>
        <w:t xml:space="preserve">e. Data Consumers</w:t>
      </w:r>
    </w:p>
    <w:p>
      <w:pPr>
        <w:spacing w:after="160"/>
      </w:pPr>
      <w:r>
        <w:rPr>
          <w:sz w:val="22"/>
          <w:szCs w:val="22"/>
        </w:rPr>
        <w:t xml:space="preserve">Primary consumer: the screening_matches table itself, queried directly with SQL, standing in for a compliance analyst's review queue in a real system. Secondary consumer: a portfolio reviewer or interviewer evaluating the pipeline's design and output.</w:t>
      </w:r>
    </w:p>
    <w:p>
      <w:pPr>
        <w:spacing w:after="80" w:before="200"/>
      </w:pPr>
      <w:r>
        <w:rPr>
          <w:b/>
          <w:bCs/>
          <w:i/>
          <w:iCs/>
          <w:sz w:val="22"/>
          <w:szCs w:val="22"/>
        </w:rPr>
        <w:t xml:space="preserve">f. Data Security</w:t>
      </w:r>
    </w:p>
    <w:p>
      <w:pPr>
        <w:spacing w:after="160"/>
      </w:pPr>
      <w:r>
        <w:rPr>
          <w:sz w:val="22"/>
          <w:szCs w:val="22"/>
        </w:rPr>
        <w:t xml:space="preserve">The OFAC source is public and requires no authentication, so there is nothing to protect in transit from OFAC. RDS has no public endpoint; it is reachable only from the Load and Match Lambda's security group inside the same VPC. That Lambda authenticates to RDS using IAM database authentication (short-lived tokens generated from its execution role) rather than a stored password, so there is no long-lived database credential to leak. GitHub Actions deploys using a role scoped to updating only the two Lambda functions, assumed via OIDC rather than a static access key stored as a repo secret. Customer data in this project is synthetic, not real PII; a production version of this system would need real encryption-at-rest and PII-handling controls that this project deliberately does not implement, noted here as a scope gap rather than an oversight.</w:t>
      </w:r>
    </w:p>
    <w:p>
      <w:pPr>
        <w:spacing w:after="80" w:before="200"/>
      </w:pPr>
      <w:r>
        <w:rPr>
          <w:b/>
          <w:bCs/>
          <w:i/>
          <w:iCs/>
          <w:sz w:val="22"/>
          <w:szCs w:val="22"/>
        </w:rPr>
        <w:t xml:space="preserve">g. Data Governance</w:t>
      </w:r>
    </w:p>
    <w:p>
      <w:pPr>
        <w:spacing w:after="160"/>
      </w:pPr>
      <w:r>
        <w:rPr>
          <w:sz w:val="22"/>
          <w:szCs w:val="22"/>
        </w:rPr>
        <w:t xml:space="preserve">As an independent portfolio project, no regulatory obligation attaches to it, and its output is never used for a real screening decision. Access is limited to the project owner. This is stated explicitly so the project is never mistaken for a certified compliance tool.</w:t>
      </w:r>
    </w:p>
    <w:p>
      <w:pPr>
        <w:pStyle w:val="Heading1"/>
        <w:spacing w:after="120" w:before="320"/>
      </w:pPr>
      <w:r>
        <w:t xml:space="preserve">Project Goals</w:t>
      </w:r>
    </w:p>
    <w:p>
      <w:pPr>
        <w:spacing w:after="160"/>
      </w:pPr>
      <w:r>
        <w:rPr>
          <w:sz w:val="22"/>
          <w:szCs w:val="22"/>
        </w:rPr>
        <w:t xml:space="preserve">Quality: the matcher should reliably catch known true-positive names in testing, the pipeline should be idempotent and re-runnable without manual cleanup, and this is enforced automatically through CI on every change rather than checked manually before each demo. Cost: keep AWS spend small and bounded against the account's signup credit, rather than assuming a blanket free allowance. Timeline: a phased build (schema and RDS setup, private networking, extract, matching, observability, CI/CD), sized to run alongside ongoing data engineering study rather than as a full-time effort. These align with the business objective of demonstrating readiness for financial-services data engineering work without requiring production-scale investment.</w:t>
      </w:r>
    </w:p>
    <w:p>
      <w:pPr>
        <w:pStyle w:val="Heading1"/>
        <w:spacing w:after="120" w:before="320"/>
      </w:pPr>
      <w:r>
        <w:t xml:space="preserve">Success Criteria</w:t>
      </w:r>
    </w:p>
    <w:p>
      <w:pPr>
        <w:pStyle w:val="ListParagraph"/>
        <w:numPr>
          <w:ilvl w:val="0"/>
          <w:numId w:val="1"/>
        </w:numPr>
        <w:spacing w:after="80"/>
      </w:pPr>
      <w:r>
        <w:rPr>
          <w:sz w:val="22"/>
          <w:szCs w:val="22"/>
        </w:rPr>
        <w:t xml:space="preserve">The pipeline runs end to end, from API pull through match output, without manual intervention, on a defined schedule.</w:t>
      </w:r>
    </w:p>
    <w:p>
      <w:pPr>
        <w:pStyle w:val="ListParagraph"/>
        <w:numPr>
          <w:ilvl w:val="0"/>
          <w:numId w:val="1"/>
        </w:numPr>
        <w:spacing w:after="80"/>
      </w:pPr>
      <w:r>
        <w:rPr>
          <w:sz w:val="22"/>
          <w:szCs w:val="22"/>
        </w:rPr>
        <w:t xml:space="preserve">100% of seeded true-positive test names (real or lightly-misspelled SDN names deliberately added to the synthetic customer table) are flagged above the match threshold.</w:t>
      </w:r>
    </w:p>
    <w:p>
      <w:pPr>
        <w:pStyle w:val="ListParagraph"/>
        <w:numPr>
          <w:ilvl w:val="0"/>
          <w:numId w:val="1"/>
        </w:numPr>
        <w:spacing w:after="80"/>
      </w:pPr>
      <w:r>
        <w:rPr>
          <w:sz w:val="22"/>
          <w:szCs w:val="22"/>
        </w:rPr>
        <w:t xml:space="preserve">False-positive rate on a batch of unrelated synthetic names stays low enough to be usable as a first-pass filter; the exact target is set after establishing a baseline from the first test run, rather than assumed in advance.</w:t>
      </w:r>
    </w:p>
    <w:p>
      <w:pPr>
        <w:pStyle w:val="ListParagraph"/>
        <w:numPr>
          <w:ilvl w:val="0"/>
          <w:numId w:val="1"/>
        </w:numPr>
        <w:spacing w:after="80"/>
      </w:pPr>
      <w:r>
        <w:rPr>
          <w:sz w:val="22"/>
          <w:szCs w:val="22"/>
        </w:rPr>
        <w:t xml:space="preserve">100% of pipeline runs produce a logged record in pipeline_runs (baseline today: no automated logging exists).</w:t>
      </w:r>
    </w:p>
    <w:p>
      <w:pPr>
        <w:pStyle w:val="Heading1"/>
        <w:spacing w:after="120" w:before="320"/>
      </w:pPr>
      <w:r>
        <w:t xml:space="preserve">Cost-Benefit Analysis</w:t>
      </w:r>
    </w:p>
    <w:p>
      <w:pPr>
        <w:spacing w:after="160"/>
      </w:pPr>
      <w:r>
        <w:rPr>
          <w:sz w:val="22"/>
          <w:szCs w:val="22"/>
        </w:rPr>
        <w:t xml:space="preserve">Cost: this AWS account was created after AWS's July 2025 free tier overhaul, so RDS is not a separate always-free allowance here. It draws down the account's signup credit ($100 to $200, depending on onboarding tasks completed) at standard on-demand rates, approximately $0.016 per hour for a db.t3.micro Postgres Single-AZ instance (roughly $12/month if left running continuously). Worth confirming whether the account is on the Free Plan or the Paid Plan, since that changes what happens once the credit is used. Stopping the instance when not actively developing, and setting an AWS budget alert, keeps this bounded. Everything else in the architecture is deliberately kept off paid networking: both Lambda functions and EventBridge Scheduler fall within Lambda's Always Free allowance regardless of account age, the S3 Gateway Endpoint used to reach S3 privately is free, and a NAT Gateway (roughly $32 to $33/month with no free tier at all) is avoided entirely by splitting the job so only the non-VPC Extract Lambda touches the internet. The one accepted trade-off is that the private Load and Match Lambda's own CloudWatch execution logs may not deliver reliably without also paying for a Logs interface endpoint (about $7/month); this is accepted rather than paid for, since pipeline_runs, written directly to RDS, is already this project's real observability record. The OFAC API is free. The primary remaining cost is development time across the build phases.</w:t>
      </w:r>
    </w:p>
    <w:p>
      <w:pPr>
        <w:spacing w:after="160"/>
      </w:pPr>
      <w:r>
        <w:rPr>
          <w:sz w:val="22"/>
          <w:szCs w:val="22"/>
        </w:rPr>
        <w:t xml:space="preserve">Benefit, in portfolio terms: a working, demonstrable example of real API integration, cloud database setup, and a compliance-relevant data pattern, directly useful in a data engineering job search targeting financial services. Benefit, in the hypothetical real-institution framing this project is modeled on: the cost of infrastructure to run a screening pipeline is negligible compared to the cost of a single missed sanctions match, which is the argument that justifies this kind of control existing at all.</w:t>
      </w:r>
    </w:p>
    <w:p>
      <w:pPr>
        <w:pStyle w:val="Heading1"/>
        <w:spacing w:after="120" w:before="320"/>
      </w:pPr>
      <w:r>
        <w:t xml:space="preserve">Assumptions, Dependencies &amp; Risks</w:t>
      </w:r>
    </w:p>
    <w:p>
      <w:pPr>
        <w:spacing w:after="80" w:before="200"/>
      </w:pPr>
      <w:r>
        <w:rPr>
          <w:b/>
          <w:bCs/>
          <w:i/>
          <w:iCs/>
          <w:sz w:val="22"/>
          <w:szCs w:val="22"/>
        </w:rPr>
        <w:t xml:space="preserve">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00"/>
        <w:gridCol w:w="1160"/>
        <w:gridCol w:w="2500"/>
      </w:tblGrid>
      <w:tr>
        <w:trPr>
          <w:tblHeader/>
        </w:trPr>
        <w:tc>
          <w:tcPr>
            <w:tcW w:type="dxa" w:w="2000"/>
            <w:shd w:fill="D9D9D9" w:val="clear"/>
            <w:tcMar>
              <w:top w:type="dxa" w:w="80"/>
              <w:left w:type="dxa" w:w="100"/>
              <w:bottom w:type="dxa" w:w="80"/>
              <w:right w:type="dxa" w:w="100"/>
            </w:tcMar>
            <w:vAlign w:val="center"/>
          </w:tcPr>
          <w:p>
            <w:r>
              <w:rPr>
                <w:b/>
                <w:bCs/>
                <w:sz w:val="20"/>
                <w:szCs w:val="20"/>
              </w:rPr>
              <w:t xml:space="preserve">Assumption</w:t>
            </w:r>
          </w:p>
        </w:tc>
        <w:tc>
          <w:tcPr>
            <w:tcW w:type="dxa" w:w="1800"/>
            <w:shd w:fill="D9D9D9" w:val="clear"/>
            <w:tcMar>
              <w:top w:type="dxa" w:w="80"/>
              <w:left w:type="dxa" w:w="100"/>
              <w:bottom w:type="dxa" w:w="80"/>
              <w:right w:type="dxa" w:w="100"/>
            </w:tcMar>
            <w:vAlign w:val="center"/>
          </w:tcPr>
          <w:p>
            <w:r>
              <w:rPr>
                <w:b/>
                <w:bCs/>
                <w:sz w:val="20"/>
                <w:szCs w:val="20"/>
              </w:rPr>
              <w:t xml:space="preserve">Impact</w:t>
            </w:r>
          </w:p>
        </w:tc>
        <w:tc>
          <w:tcPr>
            <w:tcW w:type="dxa" w:w="1900"/>
            <w:shd w:fill="D9D9D9" w:val="clear"/>
            <w:tcMar>
              <w:top w:type="dxa" w:w="80"/>
              <w:left w:type="dxa" w:w="100"/>
              <w:bottom w:type="dxa" w:w="80"/>
              <w:right w:type="dxa" w:w="100"/>
            </w:tcMar>
            <w:vAlign w:val="center"/>
          </w:tcPr>
          <w:p>
            <w:r>
              <w:rPr>
                <w:b/>
                <w:bCs/>
                <w:sz w:val="20"/>
                <w:szCs w:val="20"/>
              </w:rPr>
              <w:t xml:space="preserve">Affected Team / Component</w:t>
            </w:r>
          </w:p>
        </w:tc>
        <w:tc>
          <w:tcPr>
            <w:tcW w:type="dxa" w:w="1160"/>
            <w:shd w:fill="D9D9D9" w:val="clear"/>
            <w:tcMar>
              <w:top w:type="dxa" w:w="80"/>
              <w:left w:type="dxa" w:w="100"/>
              <w:bottom w:type="dxa" w:w="80"/>
              <w:right w:type="dxa" w:w="100"/>
            </w:tcMar>
            <w:vAlign w:val="center"/>
          </w:tcPr>
          <w:p>
            <w:r>
              <w:rPr>
                <w:b/>
                <w:bCs/>
                <w:sz w:val="20"/>
                <w:szCs w:val="20"/>
              </w:rPr>
              <w:t xml:space="preserve">Owner</w:t>
            </w:r>
          </w:p>
        </w:tc>
        <w:tc>
          <w:tcPr>
            <w:tcW w:type="dxa" w:w="2500"/>
            <w:shd w:fill="D9D9D9" w:val="clear"/>
            <w:tcMar>
              <w:top w:type="dxa" w:w="80"/>
              <w:left w:type="dxa" w:w="100"/>
              <w:bottom w:type="dxa" w:w="80"/>
              <w:right w:type="dxa" w:w="100"/>
            </w:tcMar>
            <w:vAlign w:val="center"/>
          </w:tcPr>
          <w:p>
            <w:r>
              <w:rPr>
                <w:b/>
                <w:bCs/>
                <w:sz w:val="20"/>
                <w:szCs w:val="20"/>
              </w:rPr>
              <w:t xml:space="preserve">Resolution</w:t>
            </w:r>
          </w:p>
        </w:tc>
      </w:tr>
      <w:tr>
        <w:tc>
          <w:tcPr>
            <w:tcW w:type="dxa" w:w="2000"/>
            <w:tcMar>
              <w:top w:type="dxa" w:w="80"/>
              <w:left w:type="dxa" w:w="100"/>
              <w:bottom w:type="dxa" w:w="80"/>
              <w:right w:type="dxa" w:w="100"/>
            </w:tcMar>
            <w:vAlign w:val="center"/>
          </w:tcPr>
          <w:p>
            <w:r>
              <w:rPr>
                <w:b w:val="false"/>
                <w:bCs w:val="false"/>
                <w:sz w:val="20"/>
                <w:szCs w:val="20"/>
              </w:rPr>
              <w:t xml:space="preserve">OFAC's Sanctions List Service API stays publicly available without authentication.</w:t>
            </w:r>
          </w:p>
        </w:tc>
        <w:tc>
          <w:tcPr>
            <w:tcW w:type="dxa" w:w="1800"/>
            <w:tcMar>
              <w:top w:type="dxa" w:w="80"/>
              <w:left w:type="dxa" w:w="100"/>
              <w:bottom w:type="dxa" w:w="80"/>
              <w:right w:type="dxa" w:w="100"/>
            </w:tcMar>
            <w:vAlign w:val="center"/>
          </w:tcPr>
          <w:p>
            <w:r>
              <w:rPr>
                <w:b w:val="false"/>
                <w:bCs w:val="false"/>
                <w:sz w:val="20"/>
                <w:szCs w:val="20"/>
              </w:rPr>
              <w:t xml:space="preserve">If auth is added, the extract step needs credential handling.</w:t>
            </w:r>
          </w:p>
        </w:tc>
        <w:tc>
          <w:tcPr>
            <w:tcW w:type="dxa" w:w="1900"/>
            <w:tcMar>
              <w:top w:type="dxa" w:w="80"/>
              <w:left w:type="dxa" w:w="100"/>
              <w:bottom w:type="dxa" w:w="80"/>
              <w:right w:type="dxa" w:w="100"/>
            </w:tcMar>
            <w:vAlign w:val="center"/>
          </w:tcPr>
          <w:p>
            <w:r>
              <w:rPr>
                <w:b w:val="false"/>
                <w:bCs w:val="false"/>
                <w:sz w:val="20"/>
                <w:szCs w:val="20"/>
              </w:rPr>
              <w:t xml:space="preserve">Extract component</w:t>
            </w:r>
          </w:p>
        </w:tc>
        <w:tc>
          <w:tcPr>
            <w:tcW w:type="dxa" w:w="1160"/>
            <w:tcMar>
              <w:top w:type="dxa" w:w="80"/>
              <w:left w:type="dxa" w:w="100"/>
              <w:bottom w:type="dxa" w:w="80"/>
              <w:right w:type="dxa" w:w="100"/>
            </w:tcMar>
            <w:vAlign w:val="center"/>
          </w:tcPr>
          <w:p>
            <w:r>
              <w:rPr>
                <w:b w:val="false"/>
                <w:bCs w:val="false"/>
                <w:sz w:val="20"/>
                <w:szCs w:val="20"/>
              </w:rPr>
              <w:t xml:space="preserve">Jonathan</w:t>
            </w:r>
          </w:p>
        </w:tc>
        <w:tc>
          <w:tcPr>
            <w:tcW w:type="dxa" w:w="2500"/>
            <w:tcMar>
              <w:top w:type="dxa" w:w="80"/>
              <w:left w:type="dxa" w:w="100"/>
              <w:bottom w:type="dxa" w:w="80"/>
              <w:right w:type="dxa" w:w="100"/>
            </w:tcMar>
            <w:vAlign w:val="center"/>
          </w:tcPr>
          <w:p>
            <w:r>
              <w:rPr>
                <w:b w:val="false"/>
                <w:bCs w:val="false"/>
                <w:sz w:val="20"/>
                <w:szCs w:val="20"/>
              </w:rPr>
              <w:t xml:space="preserve">Monitor OFAC API docs/changelog periodically.</w:t>
            </w:r>
          </w:p>
        </w:tc>
      </w:tr>
      <w:tr>
        <w:tc>
          <w:tcPr>
            <w:tcW w:type="dxa" w:w="2000"/>
            <w:tcMar>
              <w:top w:type="dxa" w:w="80"/>
              <w:left w:type="dxa" w:w="100"/>
              <w:bottom w:type="dxa" w:w="80"/>
              <w:right w:type="dxa" w:w="100"/>
            </w:tcMar>
            <w:vAlign w:val="center"/>
          </w:tcPr>
          <w:p>
            <w:r>
              <w:rPr>
                <w:b w:val="false"/>
                <w:bCs w:val="false"/>
                <w:sz w:val="20"/>
                <w:szCs w:val="20"/>
              </w:rPr>
              <w:t xml:space="preserve">GET /entities returns the full SDN list in one response, or via standard, documented pagination.</w:t>
            </w:r>
          </w:p>
        </w:tc>
        <w:tc>
          <w:tcPr>
            <w:tcW w:type="dxa" w:w="1800"/>
            <w:tcMar>
              <w:top w:type="dxa" w:w="80"/>
              <w:left w:type="dxa" w:w="100"/>
              <w:bottom w:type="dxa" w:w="80"/>
              <w:right w:type="dxa" w:w="100"/>
            </w:tcMar>
            <w:vAlign w:val="center"/>
          </w:tcPr>
          <w:p>
            <w:r>
              <w:rPr>
                <w:b w:val="false"/>
                <w:bCs w:val="false"/>
                <w:sz w:val="20"/>
                <w:szCs w:val="20"/>
              </w:rPr>
              <w:t xml:space="preserve">Determines the shape of the extract loop.</w:t>
            </w:r>
          </w:p>
        </w:tc>
        <w:tc>
          <w:tcPr>
            <w:tcW w:type="dxa" w:w="1900"/>
            <w:tcMar>
              <w:top w:type="dxa" w:w="80"/>
              <w:left w:type="dxa" w:w="100"/>
              <w:bottom w:type="dxa" w:w="80"/>
              <w:right w:type="dxa" w:w="100"/>
            </w:tcMar>
            <w:vAlign w:val="center"/>
          </w:tcPr>
          <w:p>
            <w:r>
              <w:rPr>
                <w:b w:val="false"/>
                <w:bCs w:val="false"/>
                <w:sz w:val="20"/>
                <w:szCs w:val="20"/>
              </w:rPr>
              <w:t xml:space="preserve">Extract component</w:t>
            </w:r>
          </w:p>
        </w:tc>
        <w:tc>
          <w:tcPr>
            <w:tcW w:type="dxa" w:w="1160"/>
            <w:tcMar>
              <w:top w:type="dxa" w:w="80"/>
              <w:left w:type="dxa" w:w="100"/>
              <w:bottom w:type="dxa" w:w="80"/>
              <w:right w:type="dxa" w:w="100"/>
            </w:tcMar>
            <w:vAlign w:val="center"/>
          </w:tcPr>
          <w:p>
            <w:r>
              <w:rPr>
                <w:b w:val="false"/>
                <w:bCs w:val="false"/>
                <w:sz w:val="20"/>
                <w:szCs w:val="20"/>
              </w:rPr>
              <w:t xml:space="preserve">Jonathan</w:t>
            </w:r>
          </w:p>
        </w:tc>
        <w:tc>
          <w:tcPr>
            <w:tcW w:type="dxa" w:w="2500"/>
            <w:tcMar>
              <w:top w:type="dxa" w:w="80"/>
              <w:left w:type="dxa" w:w="100"/>
              <w:bottom w:type="dxa" w:w="80"/>
              <w:right w:type="dxa" w:w="100"/>
            </w:tcMar>
            <w:vAlign w:val="center"/>
          </w:tcPr>
          <w:p>
            <w:r>
              <w:rPr>
                <w:b w:val="false"/>
                <w:bCs w:val="false"/>
                <w:sz w:val="20"/>
                <w:szCs w:val="20"/>
              </w:rPr>
              <w:t xml:space="preserve">Validate against the live API before finalizing extract logic.</w:t>
            </w:r>
          </w:p>
        </w:tc>
      </w:tr>
    </w:tbl>
    <w:p>
      <w:pPr>
        <w:spacing w:after="200"/>
      </w:pPr>
    </w:p>
    <w:p>
      <w:pPr>
        <w:spacing w:after="80" w:before="200"/>
      </w:pPr>
      <w:r>
        <w:rPr>
          <w:b/>
          <w:bCs/>
          <w:i/>
          <w:iCs/>
          <w:sz w:val="22"/>
          <w:szCs w:val="22"/>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700"/>
        <w:gridCol w:w="1860"/>
        <w:gridCol w:w="2100"/>
      </w:tblGrid>
      <w:tr>
        <w:trPr>
          <w:tblHeader/>
        </w:trPr>
        <w:tc>
          <w:tcPr>
            <w:tcW w:type="dxa" w:w="1900"/>
            <w:shd w:fill="D9D9D9" w:val="clear"/>
            <w:tcMar>
              <w:top w:type="dxa" w:w="80"/>
              <w:left w:type="dxa" w:w="100"/>
              <w:bottom w:type="dxa" w:w="80"/>
              <w:right w:type="dxa" w:w="100"/>
            </w:tcMar>
            <w:vAlign w:val="center"/>
          </w:tcPr>
          <w:p>
            <w:r>
              <w:rPr>
                <w:b/>
                <w:bCs/>
                <w:sz w:val="20"/>
                <w:szCs w:val="20"/>
              </w:rPr>
              <w:t xml:space="preserve">Dependency</w:t>
            </w:r>
          </w:p>
        </w:tc>
        <w:tc>
          <w:tcPr>
            <w:tcW w:type="dxa" w:w="1800"/>
            <w:shd w:fill="D9D9D9" w:val="clear"/>
            <w:tcMar>
              <w:top w:type="dxa" w:w="80"/>
              <w:left w:type="dxa" w:w="100"/>
              <w:bottom w:type="dxa" w:w="80"/>
              <w:right w:type="dxa" w:w="100"/>
            </w:tcMar>
            <w:vAlign w:val="center"/>
          </w:tcPr>
          <w:p>
            <w:r>
              <w:rPr>
                <w:b/>
                <w:bCs/>
                <w:sz w:val="20"/>
                <w:szCs w:val="20"/>
              </w:rPr>
              <w:t xml:space="preserve">Dependency On</w:t>
            </w:r>
          </w:p>
        </w:tc>
        <w:tc>
          <w:tcPr>
            <w:tcW w:type="dxa" w:w="1700"/>
            <w:shd w:fill="D9D9D9" w:val="clear"/>
            <w:tcMar>
              <w:top w:type="dxa" w:w="80"/>
              <w:left w:type="dxa" w:w="100"/>
              <w:bottom w:type="dxa" w:w="80"/>
              <w:right w:type="dxa" w:w="100"/>
            </w:tcMar>
            <w:vAlign w:val="center"/>
          </w:tcPr>
          <w:p>
            <w:r>
              <w:rPr>
                <w:b/>
                <w:bCs/>
                <w:sz w:val="20"/>
                <w:szCs w:val="20"/>
              </w:rPr>
              <w:t xml:space="preserve">Impacted</w:t>
            </w:r>
          </w:p>
        </w:tc>
        <w:tc>
          <w:tcPr>
            <w:tcW w:type="dxa" w:w="1860"/>
            <w:shd w:fill="D9D9D9" w:val="clear"/>
            <w:tcMar>
              <w:top w:type="dxa" w:w="80"/>
              <w:left w:type="dxa" w:w="100"/>
              <w:bottom w:type="dxa" w:w="80"/>
              <w:right w:type="dxa" w:w="100"/>
            </w:tcMar>
            <w:vAlign w:val="center"/>
          </w:tcPr>
          <w:p>
            <w:r>
              <w:rPr>
                <w:b/>
                <w:bCs/>
                <w:sz w:val="20"/>
                <w:szCs w:val="20"/>
              </w:rPr>
              <w:t xml:space="preserve">Affected Team / Component</w:t>
            </w:r>
          </w:p>
        </w:tc>
        <w:tc>
          <w:tcPr>
            <w:tcW w:type="dxa" w:w="2100"/>
            <w:shd w:fill="D9D9D9" w:val="clear"/>
            <w:tcMar>
              <w:top w:type="dxa" w:w="80"/>
              <w:left w:type="dxa" w:w="100"/>
              <w:bottom w:type="dxa" w:w="80"/>
              <w:right w:type="dxa" w:w="100"/>
            </w:tcMar>
            <w:vAlign w:val="center"/>
          </w:tcPr>
          <w:p>
            <w:r>
              <w:rPr>
                <w:b/>
                <w:bCs/>
                <w:sz w:val="20"/>
                <w:szCs w:val="20"/>
              </w:rPr>
              <w:t xml:space="preserve">Resolution</w:t>
            </w:r>
          </w:p>
        </w:tc>
      </w:tr>
      <w:tr>
        <w:tc>
          <w:tcPr>
            <w:tcW w:type="dxa" w:w="1900"/>
            <w:tcMar>
              <w:top w:type="dxa" w:w="80"/>
              <w:left w:type="dxa" w:w="100"/>
              <w:bottom w:type="dxa" w:w="80"/>
              <w:right w:type="dxa" w:w="100"/>
            </w:tcMar>
            <w:vAlign w:val="center"/>
          </w:tcPr>
          <w:p>
            <w:r>
              <w:rPr>
                <w:b w:val="false"/>
                <w:bCs w:val="false"/>
                <w:sz w:val="20"/>
                <w:szCs w:val="20"/>
              </w:rPr>
              <w:t xml:space="preserve">AWS RDS Postgres instance is provisioned and reachable.</w:t>
            </w:r>
          </w:p>
        </w:tc>
        <w:tc>
          <w:tcPr>
            <w:tcW w:type="dxa" w:w="1800"/>
            <w:tcMar>
              <w:top w:type="dxa" w:w="80"/>
              <w:left w:type="dxa" w:w="100"/>
              <w:bottom w:type="dxa" w:w="80"/>
              <w:right w:type="dxa" w:w="100"/>
            </w:tcMar>
            <w:vAlign w:val="center"/>
          </w:tcPr>
          <w:p>
            <w:r>
              <w:rPr>
                <w:b w:val="false"/>
                <w:bCs w:val="false"/>
                <w:sz w:val="20"/>
                <w:szCs w:val="20"/>
              </w:rPr>
              <w:t xml:space="preserve">AWS account / free tier</w:t>
            </w:r>
          </w:p>
        </w:tc>
        <w:tc>
          <w:tcPr>
            <w:tcW w:type="dxa" w:w="1700"/>
            <w:tcMar>
              <w:top w:type="dxa" w:w="80"/>
              <w:left w:type="dxa" w:w="100"/>
              <w:bottom w:type="dxa" w:w="80"/>
              <w:right w:type="dxa" w:w="100"/>
            </w:tcMar>
            <w:vAlign w:val="center"/>
          </w:tcPr>
          <w:p>
            <w:r>
              <w:rPr>
                <w:b w:val="false"/>
                <w:bCs w:val="false"/>
                <w:sz w:val="20"/>
                <w:szCs w:val="20"/>
              </w:rPr>
              <w:t xml:space="preserve">Entire pipeline</w:t>
            </w:r>
          </w:p>
        </w:tc>
        <w:tc>
          <w:tcPr>
            <w:tcW w:type="dxa" w:w="1860"/>
            <w:tcMar>
              <w:top w:type="dxa" w:w="80"/>
              <w:left w:type="dxa" w:w="100"/>
              <w:bottom w:type="dxa" w:w="80"/>
              <w:right w:type="dxa" w:w="100"/>
            </w:tcMar>
            <w:vAlign w:val="center"/>
          </w:tcPr>
          <w:p>
            <w:r>
              <w:rPr>
                <w:b w:val="false"/>
                <w:bCs w:val="false"/>
                <w:sz w:val="20"/>
                <w:szCs w:val="20"/>
              </w:rPr>
              <w:t xml:space="preserve">Load / storage</w:t>
            </w:r>
          </w:p>
        </w:tc>
        <w:tc>
          <w:tcPr>
            <w:tcW w:type="dxa" w:w="2100"/>
            <w:tcMar>
              <w:top w:type="dxa" w:w="80"/>
              <w:left w:type="dxa" w:w="100"/>
              <w:bottom w:type="dxa" w:w="80"/>
              <w:right w:type="dxa" w:w="100"/>
            </w:tcMar>
            <w:vAlign w:val="center"/>
          </w:tcPr>
          <w:p>
            <w:r>
              <w:rPr>
                <w:b w:val="false"/>
                <w:bCs w:val="false"/>
                <w:sz w:val="20"/>
                <w:szCs w:val="20"/>
              </w:rPr>
              <w:t xml:space="preserve">Provision before Milestone 1 is marked complete.</w:t>
            </w:r>
          </w:p>
        </w:tc>
      </w:tr>
      <w:tr>
        <w:tc>
          <w:tcPr>
            <w:tcW w:type="dxa" w:w="1900"/>
            <w:tcMar>
              <w:top w:type="dxa" w:w="80"/>
              <w:left w:type="dxa" w:w="100"/>
              <w:bottom w:type="dxa" w:w="80"/>
              <w:right w:type="dxa" w:w="100"/>
            </w:tcMar>
            <w:vAlign w:val="center"/>
          </w:tcPr>
          <w:p>
            <w:r>
              <w:rPr>
                <w:b w:val="false"/>
                <w:bCs w:val="false"/>
                <w:sz w:val="20"/>
                <w:szCs w:val="20"/>
              </w:rPr>
              <w:t xml:space="preserve">rapidfuzz library for fuzzy string matching.</w:t>
            </w:r>
          </w:p>
        </w:tc>
        <w:tc>
          <w:tcPr>
            <w:tcW w:type="dxa" w:w="1800"/>
            <w:tcMar>
              <w:top w:type="dxa" w:w="80"/>
              <w:left w:type="dxa" w:w="100"/>
              <w:bottom w:type="dxa" w:w="80"/>
              <w:right w:type="dxa" w:w="100"/>
            </w:tcMar>
            <w:vAlign w:val="center"/>
          </w:tcPr>
          <w:p>
            <w:r>
              <w:rPr>
                <w:b w:val="false"/>
                <w:bCs w:val="false"/>
                <w:sz w:val="20"/>
                <w:szCs w:val="20"/>
              </w:rPr>
              <w:t xml:space="preserve">PyPI package availability</w:t>
            </w:r>
          </w:p>
        </w:tc>
        <w:tc>
          <w:tcPr>
            <w:tcW w:type="dxa" w:w="1700"/>
            <w:tcMar>
              <w:top w:type="dxa" w:w="80"/>
              <w:left w:type="dxa" w:w="100"/>
              <w:bottom w:type="dxa" w:w="80"/>
              <w:right w:type="dxa" w:w="100"/>
            </w:tcMar>
            <w:vAlign w:val="center"/>
          </w:tcPr>
          <w:p>
            <w:r>
              <w:rPr>
                <w:b w:val="false"/>
                <w:bCs w:val="false"/>
                <w:sz w:val="20"/>
                <w:szCs w:val="20"/>
              </w:rPr>
              <w:t xml:space="preserve">Matching job</w:t>
            </w:r>
          </w:p>
        </w:tc>
        <w:tc>
          <w:tcPr>
            <w:tcW w:type="dxa" w:w="1860"/>
            <w:tcMar>
              <w:top w:type="dxa" w:w="80"/>
              <w:left w:type="dxa" w:w="100"/>
              <w:bottom w:type="dxa" w:w="80"/>
              <w:right w:type="dxa" w:w="100"/>
            </w:tcMar>
            <w:vAlign w:val="center"/>
          </w:tcPr>
          <w:p>
            <w:r>
              <w:rPr>
                <w:b w:val="false"/>
                <w:bCs w:val="false"/>
                <w:sz w:val="20"/>
                <w:szCs w:val="20"/>
              </w:rPr>
              <w:t xml:space="preserve">Matching component</w:t>
            </w:r>
          </w:p>
        </w:tc>
        <w:tc>
          <w:tcPr>
            <w:tcW w:type="dxa" w:w="2100"/>
            <w:tcMar>
              <w:top w:type="dxa" w:w="80"/>
              <w:left w:type="dxa" w:w="100"/>
              <w:bottom w:type="dxa" w:w="80"/>
              <w:right w:type="dxa" w:w="100"/>
            </w:tcMar>
            <w:vAlign w:val="center"/>
          </w:tcPr>
          <w:p>
            <w:r>
              <w:rPr>
                <w:b w:val="false"/>
                <w:bCs w:val="false"/>
                <w:sz w:val="20"/>
                <w:szCs w:val="20"/>
              </w:rPr>
              <w:t xml:space="preserve">Pin the version in requirements.txt.</w:t>
            </w:r>
          </w:p>
        </w:tc>
      </w:tr>
      <w:tr>
        <w:tc>
          <w:tcPr>
            <w:tcW w:type="dxa" w:w="1900"/>
            <w:tcMar>
              <w:top w:type="dxa" w:w="80"/>
              <w:left w:type="dxa" w:w="100"/>
              <w:bottom w:type="dxa" w:w="80"/>
              <w:right w:type="dxa" w:w="100"/>
            </w:tcMar>
            <w:vAlign w:val="center"/>
          </w:tcPr>
          <w:p>
            <w:r>
              <w:rPr>
                <w:b w:val="false"/>
                <w:bCs w:val="false"/>
                <w:sz w:val="20"/>
                <w:szCs w:val="20"/>
              </w:rPr>
              <w:t xml:space="preserve">Automated tests and linting run on every push and pull request.</w:t>
            </w:r>
          </w:p>
        </w:tc>
        <w:tc>
          <w:tcPr>
            <w:tcW w:type="dxa" w:w="1800"/>
            <w:tcMar>
              <w:top w:type="dxa" w:w="80"/>
              <w:left w:type="dxa" w:w="100"/>
              <w:bottom w:type="dxa" w:w="80"/>
              <w:right w:type="dxa" w:w="100"/>
            </w:tcMar>
            <w:vAlign w:val="center"/>
          </w:tcPr>
          <w:p>
            <w:r>
              <w:rPr>
                <w:b w:val="false"/>
                <w:bCs w:val="false"/>
                <w:sz w:val="20"/>
                <w:szCs w:val="20"/>
              </w:rPr>
              <w:t xml:space="preserve">GitHub Actions availability (unlimited for public repos; a monthly minutes quota for private repos)</w:t>
            </w:r>
          </w:p>
        </w:tc>
        <w:tc>
          <w:tcPr>
            <w:tcW w:type="dxa" w:w="1700"/>
            <w:tcMar>
              <w:top w:type="dxa" w:w="80"/>
              <w:left w:type="dxa" w:w="100"/>
              <w:bottom w:type="dxa" w:w="80"/>
              <w:right w:type="dxa" w:w="100"/>
            </w:tcMar>
            <w:vAlign w:val="center"/>
          </w:tcPr>
          <w:p>
            <w:r>
              <w:rPr>
                <w:b w:val="false"/>
                <w:bCs w:val="false"/>
                <w:sz w:val="20"/>
                <w:szCs w:val="20"/>
              </w:rPr>
              <w:t xml:space="preserve">CI feedback loop</w:t>
            </w:r>
          </w:p>
        </w:tc>
        <w:tc>
          <w:tcPr>
            <w:tcW w:type="dxa" w:w="1860"/>
            <w:tcMar>
              <w:top w:type="dxa" w:w="80"/>
              <w:left w:type="dxa" w:w="100"/>
              <w:bottom w:type="dxa" w:w="80"/>
              <w:right w:type="dxa" w:w="100"/>
            </w:tcMar>
            <w:vAlign w:val="center"/>
          </w:tcPr>
          <w:p>
            <w:r>
              <w:rPr>
                <w:b w:val="false"/>
                <w:bCs w:val="false"/>
                <w:sz w:val="20"/>
                <w:szCs w:val="20"/>
              </w:rPr>
              <w:t xml:space="preserve">CI/CD</w:t>
            </w:r>
          </w:p>
        </w:tc>
        <w:tc>
          <w:tcPr>
            <w:tcW w:type="dxa" w:w="2100"/>
            <w:tcMar>
              <w:top w:type="dxa" w:w="80"/>
              <w:left w:type="dxa" w:w="100"/>
              <w:bottom w:type="dxa" w:w="80"/>
              <w:right w:type="dxa" w:w="100"/>
            </w:tcMar>
            <w:vAlign w:val="center"/>
          </w:tcPr>
          <w:p>
            <w:r>
              <w:rPr>
                <w:b w:val="false"/>
                <w:bCs w:val="false"/>
                <w:sz w:val="20"/>
                <w:szCs w:val="20"/>
              </w:rPr>
              <w:t xml:space="preserve">Confirm repo visibility and Actions minutes before relying on it for every commit.</w:t>
            </w:r>
          </w:p>
        </w:tc>
      </w:tr>
      <w:tr>
        <w:tc>
          <w:tcPr>
            <w:tcW w:type="dxa" w:w="1900"/>
            <w:tcMar>
              <w:top w:type="dxa" w:w="80"/>
              <w:left w:type="dxa" w:w="100"/>
              <w:bottom w:type="dxa" w:w="80"/>
              <w:right w:type="dxa" w:w="100"/>
            </w:tcMar>
            <w:vAlign w:val="center"/>
          </w:tcPr>
          <w:p>
            <w:r>
              <w:rPr>
                <w:b w:val="false"/>
                <w:bCs w:val="false"/>
                <w:sz w:val="20"/>
                <w:szCs w:val="20"/>
              </w:rPr>
              <w:t xml:space="preserve">S3 staging bucket is provisioned, with the Extract Lambda able to write to it and the Load/Match Lambda able to read from it.</w:t>
            </w:r>
          </w:p>
        </w:tc>
        <w:tc>
          <w:tcPr>
            <w:tcW w:type="dxa" w:w="1800"/>
            <w:tcMar>
              <w:top w:type="dxa" w:w="80"/>
              <w:left w:type="dxa" w:w="100"/>
              <w:bottom w:type="dxa" w:w="80"/>
              <w:right w:type="dxa" w:w="100"/>
            </w:tcMar>
            <w:vAlign w:val="center"/>
          </w:tcPr>
          <w:p>
            <w:r>
              <w:rPr>
                <w:b w:val="false"/>
                <w:bCs w:val="false"/>
                <w:sz w:val="20"/>
                <w:szCs w:val="20"/>
              </w:rPr>
              <w:t xml:space="preserve">AWS account</w:t>
            </w:r>
          </w:p>
        </w:tc>
        <w:tc>
          <w:tcPr>
            <w:tcW w:type="dxa" w:w="1700"/>
            <w:tcMar>
              <w:top w:type="dxa" w:w="80"/>
              <w:left w:type="dxa" w:w="100"/>
              <w:bottom w:type="dxa" w:w="80"/>
              <w:right w:type="dxa" w:w="100"/>
            </w:tcMar>
            <w:vAlign w:val="center"/>
          </w:tcPr>
          <w:p>
            <w:r>
              <w:rPr>
                <w:b w:val="false"/>
                <w:bCs w:val="false"/>
                <w:sz w:val="20"/>
                <w:szCs w:val="20"/>
              </w:rPr>
              <w:t xml:space="preserve">Load and Match Lambda's input</w:t>
            </w:r>
          </w:p>
        </w:tc>
        <w:tc>
          <w:tcPr>
            <w:tcW w:type="dxa" w:w="1860"/>
            <w:tcMar>
              <w:top w:type="dxa" w:w="80"/>
              <w:left w:type="dxa" w:w="100"/>
              <w:bottom w:type="dxa" w:w="80"/>
              <w:right w:type="dxa" w:w="100"/>
            </w:tcMar>
            <w:vAlign w:val="center"/>
          </w:tcPr>
          <w:p>
            <w:r>
              <w:rPr>
                <w:b w:val="false"/>
                <w:bCs w:val="false"/>
                <w:sz w:val="20"/>
                <w:szCs w:val="20"/>
              </w:rPr>
              <w:t xml:space="preserve">Extract / staging</w:t>
            </w:r>
          </w:p>
        </w:tc>
        <w:tc>
          <w:tcPr>
            <w:tcW w:type="dxa" w:w="2100"/>
            <w:tcMar>
              <w:top w:type="dxa" w:w="80"/>
              <w:left w:type="dxa" w:w="100"/>
              <w:bottom w:type="dxa" w:w="80"/>
              <w:right w:type="dxa" w:w="100"/>
            </w:tcMar>
            <w:vAlign w:val="center"/>
          </w:tcPr>
          <w:p>
            <w:r>
              <w:rPr>
                <w:b w:val="false"/>
                <w:bCs w:val="false"/>
                <w:sz w:val="20"/>
                <w:szCs w:val="20"/>
              </w:rPr>
              <w:t xml:space="preserve">Provision alongside the RDS instance, before Milestone 1 is marked complete.</w:t>
            </w:r>
          </w:p>
        </w:tc>
      </w:tr>
      <w:tr>
        <w:tc>
          <w:tcPr>
            <w:tcW w:type="dxa" w:w="1900"/>
            <w:tcMar>
              <w:top w:type="dxa" w:w="80"/>
              <w:left w:type="dxa" w:w="100"/>
              <w:bottom w:type="dxa" w:w="80"/>
              <w:right w:type="dxa" w:w="100"/>
            </w:tcMar>
            <w:vAlign w:val="center"/>
          </w:tcPr>
          <w:p>
            <w:r>
              <w:rPr>
                <w:b w:val="false"/>
                <w:bCs w:val="false"/>
                <w:sz w:val="20"/>
                <w:szCs w:val="20"/>
              </w:rPr>
              <w:t xml:space="preserve">A VPC with a private subnet and an S3 Gateway Endpoint is configured, so the Load and Match Lambda can reach S3 and RDS without a NAT Gateway.</w:t>
            </w:r>
          </w:p>
        </w:tc>
        <w:tc>
          <w:tcPr>
            <w:tcW w:type="dxa" w:w="1800"/>
            <w:tcMar>
              <w:top w:type="dxa" w:w="80"/>
              <w:left w:type="dxa" w:w="100"/>
              <w:bottom w:type="dxa" w:w="80"/>
              <w:right w:type="dxa" w:w="100"/>
            </w:tcMar>
            <w:vAlign w:val="center"/>
          </w:tcPr>
          <w:p>
            <w:r>
              <w:rPr>
                <w:b w:val="false"/>
                <w:bCs w:val="false"/>
                <w:sz w:val="20"/>
                <w:szCs w:val="20"/>
              </w:rPr>
              <w:t xml:space="preserve">AWS account / networking setup</w:t>
            </w:r>
          </w:p>
        </w:tc>
        <w:tc>
          <w:tcPr>
            <w:tcW w:type="dxa" w:w="1700"/>
            <w:tcMar>
              <w:top w:type="dxa" w:w="80"/>
              <w:left w:type="dxa" w:w="100"/>
              <w:bottom w:type="dxa" w:w="80"/>
              <w:right w:type="dxa" w:w="100"/>
            </w:tcMar>
            <w:vAlign w:val="center"/>
          </w:tcPr>
          <w:p>
            <w:r>
              <w:rPr>
                <w:b w:val="false"/>
                <w:bCs w:val="false"/>
                <w:sz w:val="20"/>
                <w:szCs w:val="20"/>
              </w:rPr>
              <w:t xml:space="preserve">Load and Match Lambda</w:t>
            </w:r>
          </w:p>
        </w:tc>
        <w:tc>
          <w:tcPr>
            <w:tcW w:type="dxa" w:w="1860"/>
            <w:tcMar>
              <w:top w:type="dxa" w:w="80"/>
              <w:left w:type="dxa" w:w="100"/>
              <w:bottom w:type="dxa" w:w="80"/>
              <w:right w:type="dxa" w:w="100"/>
            </w:tcMar>
            <w:vAlign w:val="center"/>
          </w:tcPr>
          <w:p>
            <w:r>
              <w:rPr>
                <w:b w:val="false"/>
                <w:bCs w:val="false"/>
                <w:sz w:val="20"/>
                <w:szCs w:val="20"/>
              </w:rPr>
              <w:t xml:space="preserve">Networking</w:t>
            </w:r>
          </w:p>
        </w:tc>
        <w:tc>
          <w:tcPr>
            <w:tcW w:type="dxa" w:w="2100"/>
            <w:tcMar>
              <w:top w:type="dxa" w:w="80"/>
              <w:left w:type="dxa" w:w="100"/>
              <w:bottom w:type="dxa" w:w="80"/>
              <w:right w:type="dxa" w:w="100"/>
            </w:tcMar>
            <w:vAlign w:val="center"/>
          </w:tcPr>
          <w:p>
            <w:r>
              <w:rPr>
                <w:b w:val="false"/>
                <w:bCs w:val="false"/>
                <w:sz w:val="20"/>
                <w:szCs w:val="20"/>
              </w:rPr>
              <w:t xml:space="preserve">Set up before the Load/Match Lambda is deployed; confirm no NAT Gateway exists in the VPC.</w:t>
            </w:r>
          </w:p>
        </w:tc>
      </w:tr>
      <w:tr>
        <w:tc>
          <w:tcPr>
            <w:tcW w:type="dxa" w:w="1900"/>
            <w:tcMar>
              <w:top w:type="dxa" w:w="80"/>
              <w:left w:type="dxa" w:w="100"/>
              <w:bottom w:type="dxa" w:w="80"/>
              <w:right w:type="dxa" w:w="100"/>
            </w:tcMar>
            <w:vAlign w:val="center"/>
          </w:tcPr>
          <w:p>
            <w:r>
              <w:rPr>
                <w:b w:val="false"/>
                <w:bCs w:val="false"/>
                <w:sz w:val="20"/>
                <w:szCs w:val="20"/>
              </w:rPr>
              <w:t xml:space="preserve">GitHub Actions deploys both Lambda functions on merge to main.</w:t>
            </w:r>
          </w:p>
        </w:tc>
        <w:tc>
          <w:tcPr>
            <w:tcW w:type="dxa" w:w="1800"/>
            <w:tcMar>
              <w:top w:type="dxa" w:w="80"/>
              <w:left w:type="dxa" w:w="100"/>
              <w:bottom w:type="dxa" w:w="80"/>
              <w:right w:type="dxa" w:w="100"/>
            </w:tcMar>
            <w:vAlign w:val="center"/>
          </w:tcPr>
          <w:p>
            <w:r>
              <w:rPr>
                <w:b w:val="false"/>
                <w:bCs w:val="false"/>
                <w:sz w:val="20"/>
                <w:szCs w:val="20"/>
              </w:rPr>
              <w:t xml:space="preserve">An IAM role trusted by GitHub's OIDC provider, scoped to updating only these two functions</w:t>
            </w:r>
          </w:p>
        </w:tc>
        <w:tc>
          <w:tcPr>
            <w:tcW w:type="dxa" w:w="1700"/>
            <w:tcMar>
              <w:top w:type="dxa" w:w="80"/>
              <w:left w:type="dxa" w:w="100"/>
              <w:bottom w:type="dxa" w:w="80"/>
              <w:right w:type="dxa" w:w="100"/>
            </w:tcMar>
            <w:vAlign w:val="center"/>
          </w:tcPr>
          <w:p>
            <w:r>
              <w:rPr>
                <w:b w:val="false"/>
                <w:bCs w:val="false"/>
                <w:sz w:val="20"/>
                <w:szCs w:val="20"/>
              </w:rPr>
              <w:t xml:space="preserve">CD step</w:t>
            </w:r>
          </w:p>
        </w:tc>
        <w:tc>
          <w:tcPr>
            <w:tcW w:type="dxa" w:w="1860"/>
            <w:tcMar>
              <w:top w:type="dxa" w:w="80"/>
              <w:left w:type="dxa" w:w="100"/>
              <w:bottom w:type="dxa" w:w="80"/>
              <w:right w:type="dxa" w:w="100"/>
            </w:tcMar>
            <w:vAlign w:val="center"/>
          </w:tcPr>
          <w:p>
            <w:r>
              <w:rPr>
                <w:b w:val="false"/>
                <w:bCs w:val="false"/>
                <w:sz w:val="20"/>
                <w:szCs w:val="20"/>
              </w:rPr>
              <w:t xml:space="preserve">CI/CD</w:t>
            </w:r>
          </w:p>
        </w:tc>
        <w:tc>
          <w:tcPr>
            <w:tcW w:type="dxa" w:w="2100"/>
            <w:tcMar>
              <w:top w:type="dxa" w:w="80"/>
              <w:left w:type="dxa" w:w="100"/>
              <w:bottom w:type="dxa" w:w="80"/>
              <w:right w:type="dxa" w:w="100"/>
            </w:tcMar>
            <w:vAlign w:val="center"/>
          </w:tcPr>
          <w:p>
            <w:r>
              <w:rPr>
                <w:b w:val="false"/>
                <w:bCs w:val="false"/>
                <w:sz w:val="20"/>
                <w:szCs w:val="20"/>
              </w:rPr>
              <w:t xml:space="preserve">Set up OIDC federation rather than storing long-lived AWS access keys as a repo secret.</w:t>
            </w:r>
          </w:p>
        </w:tc>
      </w:tr>
    </w:tbl>
    <w:p>
      <w:pPr>
        <w:spacing w:after="200"/>
      </w:pPr>
    </w:p>
    <w:p>
      <w:pPr>
        <w:spacing w:after="80" w:before="200"/>
      </w:pPr>
      <w:r>
        <w:rPr>
          <w:b/>
          <w:bCs/>
          <w:i/>
          <w:iCs/>
          <w:sz w:val="22"/>
          <w:szCs w:val="22"/>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1160"/>
        <w:gridCol w:w="3000"/>
      </w:tblGrid>
      <w:tr>
        <w:trPr>
          <w:tblHeader/>
        </w:trPr>
        <w:tc>
          <w:tcPr>
            <w:tcW w:type="dxa" w:w="2200"/>
            <w:shd w:fill="D9D9D9" w:val="clear"/>
            <w:tcMar>
              <w:top w:type="dxa" w:w="80"/>
              <w:left w:type="dxa" w:w="100"/>
              <w:bottom w:type="dxa" w:w="80"/>
              <w:right w:type="dxa" w:w="100"/>
            </w:tcMar>
            <w:vAlign w:val="center"/>
          </w:tcPr>
          <w:p>
            <w:r>
              <w:rPr>
                <w:b/>
                <w:bCs/>
                <w:sz w:val="20"/>
                <w:szCs w:val="20"/>
              </w:rPr>
              <w:t xml:space="preserve">Risk</w:t>
            </w:r>
          </w:p>
        </w:tc>
        <w:tc>
          <w:tcPr>
            <w:tcW w:type="dxa" w:w="1200"/>
            <w:shd w:fill="D9D9D9" w:val="clear"/>
            <w:tcMar>
              <w:top w:type="dxa" w:w="80"/>
              <w:left w:type="dxa" w:w="100"/>
              <w:bottom w:type="dxa" w:w="80"/>
              <w:right w:type="dxa" w:w="100"/>
            </w:tcMar>
            <w:vAlign w:val="center"/>
          </w:tcPr>
          <w:p>
            <w:r>
              <w:rPr>
                <w:b/>
                <w:bCs/>
                <w:sz w:val="20"/>
                <w:szCs w:val="20"/>
              </w:rPr>
              <w:t xml:space="preserve">Priority (H/M/L)</w:t>
            </w:r>
          </w:p>
        </w:tc>
        <w:tc>
          <w:tcPr>
            <w:tcW w:type="dxa" w:w="1800"/>
            <w:shd w:fill="D9D9D9" w:val="clear"/>
            <w:tcMar>
              <w:top w:type="dxa" w:w="80"/>
              <w:left w:type="dxa" w:w="100"/>
              <w:bottom w:type="dxa" w:w="80"/>
              <w:right w:type="dxa" w:w="100"/>
            </w:tcMar>
            <w:vAlign w:val="center"/>
          </w:tcPr>
          <w:p>
            <w:r>
              <w:rPr>
                <w:b/>
                <w:bCs/>
                <w:sz w:val="20"/>
                <w:szCs w:val="20"/>
              </w:rPr>
              <w:t xml:space="preserve">Impact</w:t>
            </w:r>
          </w:p>
        </w:tc>
        <w:tc>
          <w:tcPr>
            <w:tcW w:type="dxa" w:w="1160"/>
            <w:shd w:fill="D9D9D9" w:val="clear"/>
            <w:tcMar>
              <w:top w:type="dxa" w:w="80"/>
              <w:left w:type="dxa" w:w="100"/>
              <w:bottom w:type="dxa" w:w="80"/>
              <w:right w:type="dxa" w:w="100"/>
            </w:tcMar>
            <w:vAlign w:val="center"/>
          </w:tcPr>
          <w:p>
            <w:r>
              <w:rPr>
                <w:b/>
                <w:bCs/>
                <w:sz w:val="20"/>
                <w:szCs w:val="20"/>
              </w:rPr>
              <w:t xml:space="preserve">Owner</w:t>
            </w:r>
          </w:p>
        </w:tc>
        <w:tc>
          <w:tcPr>
            <w:tcW w:type="dxa" w:w="3000"/>
            <w:shd w:fill="D9D9D9" w:val="clear"/>
            <w:tcMar>
              <w:top w:type="dxa" w:w="80"/>
              <w:left w:type="dxa" w:w="100"/>
              <w:bottom w:type="dxa" w:w="80"/>
              <w:right w:type="dxa" w:w="100"/>
            </w:tcMar>
            <w:vAlign w:val="center"/>
          </w:tcPr>
          <w:p>
            <w:r>
              <w:rPr>
                <w:b/>
                <w:bCs/>
                <w:sz w:val="20"/>
                <w:szCs w:val="20"/>
              </w:rPr>
              <w:t xml:space="preserve">Mitigation Plan</w:t>
            </w:r>
          </w:p>
        </w:tc>
      </w:tr>
      <w:tr>
        <w:tc>
          <w:tcPr>
            <w:tcW w:type="dxa" w:w="2200"/>
            <w:tcMar>
              <w:top w:type="dxa" w:w="80"/>
              <w:left w:type="dxa" w:w="100"/>
              <w:bottom w:type="dxa" w:w="80"/>
              <w:right w:type="dxa" w:w="100"/>
            </w:tcMar>
            <w:vAlign w:val="center"/>
          </w:tcPr>
          <w:p>
            <w:r>
              <w:rPr>
                <w:b w:val="false"/>
                <w:bCs w:val="false"/>
                <w:sz w:val="20"/>
                <w:szCs w:val="20"/>
              </w:rPr>
              <w:t xml:space="preserve">OFAC changes the API contract or response format without notice.</w:t>
            </w:r>
          </w:p>
        </w:tc>
        <w:tc>
          <w:tcPr>
            <w:tcW w:type="dxa" w:w="1200"/>
            <w:tcMar>
              <w:top w:type="dxa" w:w="80"/>
              <w:left w:type="dxa" w:w="100"/>
              <w:bottom w:type="dxa" w:w="80"/>
              <w:right w:type="dxa" w:w="100"/>
            </w:tcMar>
            <w:vAlign w:val="center"/>
          </w:tcPr>
          <w:p>
            <w:r>
              <w:rPr>
                <w:b w:val="false"/>
                <w:bCs w:val="false"/>
                <w:sz w:val="20"/>
                <w:szCs w:val="20"/>
              </w:rPr>
              <w:t xml:space="preserve">M</w:t>
            </w:r>
          </w:p>
        </w:tc>
        <w:tc>
          <w:tcPr>
            <w:tcW w:type="dxa" w:w="1800"/>
            <w:tcMar>
              <w:top w:type="dxa" w:w="80"/>
              <w:left w:type="dxa" w:w="100"/>
              <w:bottom w:type="dxa" w:w="80"/>
              <w:right w:type="dxa" w:w="100"/>
            </w:tcMar>
            <w:vAlign w:val="center"/>
          </w:tcPr>
          <w:p>
            <w:r>
              <w:rPr>
                <w:b w:val="false"/>
                <w:bCs w:val="false"/>
                <w:sz w:val="20"/>
                <w:szCs w:val="20"/>
              </w:rPr>
              <w:t xml:space="preserve">Extract step breaks or silently mis-parses data.</w:t>
            </w:r>
          </w:p>
        </w:tc>
        <w:tc>
          <w:tcPr>
            <w:tcW w:type="dxa" w:w="1160"/>
            <w:tcMar>
              <w:top w:type="dxa" w:w="80"/>
              <w:left w:type="dxa" w:w="100"/>
              <w:bottom w:type="dxa" w:w="80"/>
              <w:right w:type="dxa" w:w="100"/>
            </w:tcMar>
            <w:vAlign w:val="center"/>
          </w:tcPr>
          <w:p>
            <w:r>
              <w:rPr>
                <w:b w:val="false"/>
                <w:bCs w:val="false"/>
                <w:sz w:val="20"/>
                <w:szCs w:val="20"/>
              </w:rPr>
              <w:t xml:space="preserve">Jonathan</w:t>
            </w:r>
          </w:p>
        </w:tc>
        <w:tc>
          <w:tcPr>
            <w:tcW w:type="dxa" w:w="3000"/>
            <w:tcMar>
              <w:top w:type="dxa" w:w="80"/>
              <w:left w:type="dxa" w:w="100"/>
              <w:bottom w:type="dxa" w:w="80"/>
              <w:right w:type="dxa" w:w="100"/>
            </w:tcMar>
            <w:vAlign w:val="center"/>
          </w:tcPr>
          <w:p>
            <w:r>
              <w:rPr>
                <w:b w:val="false"/>
                <w:bCs w:val="false"/>
                <w:sz w:val="20"/>
                <w:szCs w:val="20"/>
              </w:rPr>
              <w:t xml:space="preserve">Pre-flight /alive check before each run; wrap parsing in validation; alert on HTTP or schema errors.</w:t>
            </w:r>
          </w:p>
        </w:tc>
      </w:tr>
      <w:tr>
        <w:tc>
          <w:tcPr>
            <w:tcW w:type="dxa" w:w="2200"/>
            <w:tcMar>
              <w:top w:type="dxa" w:w="80"/>
              <w:left w:type="dxa" w:w="100"/>
              <w:bottom w:type="dxa" w:w="80"/>
              <w:right w:type="dxa" w:w="100"/>
            </w:tcMar>
            <w:vAlign w:val="center"/>
          </w:tcPr>
          <w:p>
            <w:r>
              <w:rPr>
                <w:b w:val="false"/>
                <w:bCs w:val="false"/>
                <w:sz w:val="20"/>
                <w:szCs w:val="20"/>
              </w:rPr>
              <w:t xml:space="preserve">RDS instance-hours draw down the account's signup credit faster than expected, or the credit is exhausted before the project is done.</w:t>
            </w:r>
          </w:p>
        </w:tc>
        <w:tc>
          <w:tcPr>
            <w:tcW w:type="dxa" w:w="1200"/>
            <w:tcMar>
              <w:top w:type="dxa" w:w="80"/>
              <w:left w:type="dxa" w:w="100"/>
              <w:bottom w:type="dxa" w:w="80"/>
              <w:right w:type="dxa" w:w="100"/>
            </w:tcMar>
            <w:vAlign w:val="center"/>
          </w:tcPr>
          <w:p>
            <w:r>
              <w:rPr>
                <w:b w:val="false"/>
                <w:bCs w:val="false"/>
                <w:sz w:val="20"/>
                <w:szCs w:val="20"/>
              </w:rPr>
              <w:t xml:space="preserve">L</w:t>
            </w:r>
          </w:p>
        </w:tc>
        <w:tc>
          <w:tcPr>
            <w:tcW w:type="dxa" w:w="1800"/>
            <w:tcMar>
              <w:top w:type="dxa" w:w="80"/>
              <w:left w:type="dxa" w:w="100"/>
              <w:bottom w:type="dxa" w:w="80"/>
              <w:right w:type="dxa" w:w="100"/>
            </w:tcMar>
            <w:vAlign w:val="center"/>
          </w:tcPr>
          <w:p>
            <w:r>
              <w:rPr>
                <w:b w:val="false"/>
                <w:bCs w:val="false"/>
                <w:sz w:val="20"/>
                <w:szCs w:val="20"/>
              </w:rPr>
              <w:t xml:space="preserve">Unexpected AWS bill, or the account moves to standard billing sooner than planned.</w:t>
            </w:r>
          </w:p>
        </w:tc>
        <w:tc>
          <w:tcPr>
            <w:tcW w:type="dxa" w:w="1160"/>
            <w:tcMar>
              <w:top w:type="dxa" w:w="80"/>
              <w:left w:type="dxa" w:w="100"/>
              <w:bottom w:type="dxa" w:w="80"/>
              <w:right w:type="dxa" w:w="100"/>
            </w:tcMar>
            <w:vAlign w:val="center"/>
          </w:tcPr>
          <w:p>
            <w:r>
              <w:rPr>
                <w:b w:val="false"/>
                <w:bCs w:val="false"/>
                <w:sz w:val="20"/>
                <w:szCs w:val="20"/>
              </w:rPr>
              <w:t xml:space="preserve">Jonathan</w:t>
            </w:r>
          </w:p>
        </w:tc>
        <w:tc>
          <w:tcPr>
            <w:tcW w:type="dxa" w:w="3000"/>
            <w:tcMar>
              <w:top w:type="dxa" w:w="80"/>
              <w:left w:type="dxa" w:w="100"/>
              <w:bottom w:type="dxa" w:w="80"/>
              <w:right w:type="dxa" w:w="100"/>
            </w:tcMar>
            <w:vAlign w:val="center"/>
          </w:tcPr>
          <w:p>
            <w:r>
              <w:rPr>
                <w:b w:val="false"/>
                <w:bCs w:val="false"/>
                <w:sz w:val="20"/>
                <w:szCs w:val="20"/>
              </w:rPr>
              <w:t xml:space="preserve">Set an AWS budget alert; stop the instance when not actively developing; check the remaining credit balance in Billing periodically.</w:t>
            </w:r>
          </w:p>
        </w:tc>
      </w:tr>
      <w:tr>
        <w:tc>
          <w:tcPr>
            <w:tcW w:type="dxa" w:w="2200"/>
            <w:tcMar>
              <w:top w:type="dxa" w:w="80"/>
              <w:left w:type="dxa" w:w="100"/>
              <w:bottom w:type="dxa" w:w="80"/>
              <w:right w:type="dxa" w:w="100"/>
            </w:tcMar>
            <w:vAlign w:val="center"/>
          </w:tcPr>
          <w:p>
            <w:r>
              <w:rPr>
                <w:b w:val="false"/>
                <w:bCs w:val="false"/>
                <w:sz w:val="20"/>
                <w:szCs w:val="20"/>
              </w:rPr>
              <w:t xml:space="preserve">Fuzzy match threshold produces too many false positives/negatives to be a meaningful demo.</w:t>
            </w:r>
          </w:p>
        </w:tc>
        <w:tc>
          <w:tcPr>
            <w:tcW w:type="dxa" w:w="1200"/>
            <w:tcMar>
              <w:top w:type="dxa" w:w="80"/>
              <w:left w:type="dxa" w:w="100"/>
              <w:bottom w:type="dxa" w:w="80"/>
              <w:right w:type="dxa" w:w="100"/>
            </w:tcMar>
            <w:vAlign w:val="center"/>
          </w:tcPr>
          <w:p>
            <w:r>
              <w:rPr>
                <w:b w:val="false"/>
                <w:bCs w:val="false"/>
                <w:sz w:val="20"/>
                <w:szCs w:val="20"/>
              </w:rPr>
              <w:t xml:space="preserve">M</w:t>
            </w:r>
          </w:p>
        </w:tc>
        <w:tc>
          <w:tcPr>
            <w:tcW w:type="dxa" w:w="1800"/>
            <w:tcMar>
              <w:top w:type="dxa" w:w="80"/>
              <w:left w:type="dxa" w:w="100"/>
              <w:bottom w:type="dxa" w:w="80"/>
              <w:right w:type="dxa" w:w="100"/>
            </w:tcMar>
            <w:vAlign w:val="center"/>
          </w:tcPr>
          <w:p>
            <w:r>
              <w:rPr>
                <w:b w:val="false"/>
                <w:bCs w:val="false"/>
                <w:sz w:val="20"/>
                <w:szCs w:val="20"/>
              </w:rPr>
              <w:t xml:space="preserve">Undermines the project's core claim.</w:t>
            </w:r>
          </w:p>
        </w:tc>
        <w:tc>
          <w:tcPr>
            <w:tcW w:type="dxa" w:w="1160"/>
            <w:tcMar>
              <w:top w:type="dxa" w:w="80"/>
              <w:left w:type="dxa" w:w="100"/>
              <w:bottom w:type="dxa" w:w="80"/>
              <w:right w:type="dxa" w:w="100"/>
            </w:tcMar>
            <w:vAlign w:val="center"/>
          </w:tcPr>
          <w:p>
            <w:r>
              <w:rPr>
                <w:b w:val="false"/>
                <w:bCs w:val="false"/>
                <w:sz w:val="20"/>
                <w:szCs w:val="20"/>
              </w:rPr>
              <w:t xml:space="preserve">Jonathan</w:t>
            </w:r>
          </w:p>
        </w:tc>
        <w:tc>
          <w:tcPr>
            <w:tcW w:type="dxa" w:w="3000"/>
            <w:tcMar>
              <w:top w:type="dxa" w:w="80"/>
              <w:left w:type="dxa" w:w="100"/>
              <w:bottom w:type="dxa" w:w="80"/>
              <w:right w:type="dxa" w:w="100"/>
            </w:tcMar>
            <w:vAlign w:val="center"/>
          </w:tcPr>
          <w:p>
            <w:r>
              <w:rPr>
                <w:b w:val="false"/>
                <w:bCs w:val="false"/>
                <w:sz w:val="20"/>
                <w:szCs w:val="20"/>
              </w:rPr>
              <w:t xml:space="preserve">Validate against seeded true-positive and true-negative test sets before considering matching complete.</w:t>
            </w:r>
          </w:p>
        </w:tc>
      </w:tr>
      <w:tr>
        <w:tc>
          <w:tcPr>
            <w:tcW w:type="dxa" w:w="2200"/>
            <w:tcMar>
              <w:top w:type="dxa" w:w="80"/>
              <w:left w:type="dxa" w:w="100"/>
              <w:bottom w:type="dxa" w:w="80"/>
              <w:right w:type="dxa" w:w="100"/>
            </w:tcMar>
            <w:vAlign w:val="center"/>
          </w:tcPr>
          <w:p>
            <w:r>
              <w:rPr>
                <w:b w:val="false"/>
                <w:bCs w:val="false"/>
                <w:sz w:val="20"/>
                <w:szCs w:val="20"/>
              </w:rPr>
              <w:t xml:space="preserve">A NAT Gateway gets added to the VPC, for example while debugging connectivity, and is left running afterward.</w:t>
            </w:r>
          </w:p>
        </w:tc>
        <w:tc>
          <w:tcPr>
            <w:tcW w:type="dxa" w:w="1200"/>
            <w:tcMar>
              <w:top w:type="dxa" w:w="80"/>
              <w:left w:type="dxa" w:w="100"/>
              <w:bottom w:type="dxa" w:w="80"/>
              <w:right w:type="dxa" w:w="100"/>
            </w:tcMar>
            <w:vAlign w:val="center"/>
          </w:tcPr>
          <w:p>
            <w:r>
              <w:rPr>
                <w:b w:val="false"/>
                <w:bCs w:val="false"/>
                <w:sz w:val="20"/>
                <w:szCs w:val="20"/>
              </w:rPr>
              <w:t xml:space="preserve">M</w:t>
            </w:r>
          </w:p>
        </w:tc>
        <w:tc>
          <w:tcPr>
            <w:tcW w:type="dxa" w:w="1800"/>
            <w:tcMar>
              <w:top w:type="dxa" w:w="80"/>
              <w:left w:type="dxa" w:w="100"/>
              <w:bottom w:type="dxa" w:w="80"/>
              <w:right w:type="dxa" w:w="100"/>
            </w:tcMar>
            <w:vAlign w:val="center"/>
          </w:tcPr>
          <w:p>
            <w:r>
              <w:rPr>
                <w:b w:val="false"/>
                <w:bCs w:val="false"/>
                <w:sz w:val="20"/>
                <w:szCs w:val="20"/>
              </w:rPr>
              <w:t xml:space="preserve">Reintroduces the roughly $32-33/month charge this design was built to avoid, with no free tier to offset it.</w:t>
            </w:r>
          </w:p>
        </w:tc>
        <w:tc>
          <w:tcPr>
            <w:tcW w:type="dxa" w:w="1160"/>
            <w:tcMar>
              <w:top w:type="dxa" w:w="80"/>
              <w:left w:type="dxa" w:w="100"/>
              <w:bottom w:type="dxa" w:w="80"/>
              <w:right w:type="dxa" w:w="100"/>
            </w:tcMar>
            <w:vAlign w:val="center"/>
          </w:tcPr>
          <w:p>
            <w:r>
              <w:rPr>
                <w:b w:val="false"/>
                <w:bCs w:val="false"/>
                <w:sz w:val="20"/>
                <w:szCs w:val="20"/>
              </w:rPr>
              <w:t xml:space="preserve">Jonathan</w:t>
            </w:r>
          </w:p>
        </w:tc>
        <w:tc>
          <w:tcPr>
            <w:tcW w:type="dxa" w:w="3000"/>
            <w:tcMar>
              <w:top w:type="dxa" w:w="80"/>
              <w:left w:type="dxa" w:w="100"/>
              <w:bottom w:type="dxa" w:w="80"/>
              <w:right w:type="dxa" w:w="100"/>
            </w:tcMar>
            <w:vAlign w:val="center"/>
          </w:tcPr>
          <w:p>
            <w:r>
              <w:rPr>
                <w:b w:val="false"/>
                <w:bCs w:val="false"/>
                <w:sz w:val="20"/>
                <w:szCs w:val="20"/>
              </w:rPr>
              <w:t xml:space="preserve">No NAT Gateway should exist in the VPC for v1; if one is added temporarily, tear it down explicitly and check for it when reviewing the AWS bill.</w:t>
            </w:r>
          </w:p>
        </w:tc>
      </w:tr>
      <w:tr>
        <w:tc>
          <w:tcPr>
            <w:tcW w:type="dxa" w:w="2200"/>
            <w:tcMar>
              <w:top w:type="dxa" w:w="80"/>
              <w:left w:type="dxa" w:w="100"/>
              <w:bottom w:type="dxa" w:w="80"/>
              <w:right w:type="dxa" w:w="100"/>
            </w:tcMar>
            <w:vAlign w:val="center"/>
          </w:tcPr>
          <w:p>
            <w:r>
              <w:rPr>
                <w:b w:val="false"/>
                <w:bCs w:val="false"/>
                <w:sz w:val="20"/>
                <w:szCs w:val="20"/>
              </w:rPr>
              <w:t xml:space="preserve">The private Load and Match Lambda's CloudWatch execution logs don't deliver reliably, since no NAT Gateway or Logs interface endpoint is configured.</w:t>
            </w:r>
          </w:p>
        </w:tc>
        <w:tc>
          <w:tcPr>
            <w:tcW w:type="dxa" w:w="1200"/>
            <w:tcMar>
              <w:top w:type="dxa" w:w="80"/>
              <w:left w:type="dxa" w:w="100"/>
              <w:bottom w:type="dxa" w:w="80"/>
              <w:right w:type="dxa" w:w="100"/>
            </w:tcMar>
            <w:vAlign w:val="center"/>
          </w:tcPr>
          <w:p>
            <w:r>
              <w:rPr>
                <w:b w:val="false"/>
                <w:bCs w:val="false"/>
                <w:sz w:val="20"/>
                <w:szCs w:val="20"/>
              </w:rPr>
              <w:t xml:space="preserve">L</w:t>
            </w:r>
          </w:p>
        </w:tc>
        <w:tc>
          <w:tcPr>
            <w:tcW w:type="dxa" w:w="1800"/>
            <w:tcMar>
              <w:top w:type="dxa" w:w="80"/>
              <w:left w:type="dxa" w:w="100"/>
              <w:bottom w:type="dxa" w:w="80"/>
              <w:right w:type="dxa" w:w="100"/>
            </w:tcMar>
            <w:vAlign w:val="center"/>
          </w:tcPr>
          <w:p>
            <w:r>
              <w:rPr>
                <w:b w:val="false"/>
                <w:bCs w:val="false"/>
                <w:sz w:val="20"/>
                <w:szCs w:val="20"/>
              </w:rPr>
              <w:t xml:space="preserve">Reduced visibility into raw execution failures beyond what pipeline_runs captures.</w:t>
            </w:r>
          </w:p>
        </w:tc>
        <w:tc>
          <w:tcPr>
            <w:tcW w:type="dxa" w:w="1160"/>
            <w:tcMar>
              <w:top w:type="dxa" w:w="80"/>
              <w:left w:type="dxa" w:w="100"/>
              <w:bottom w:type="dxa" w:w="80"/>
              <w:right w:type="dxa" w:w="100"/>
            </w:tcMar>
            <w:vAlign w:val="center"/>
          </w:tcPr>
          <w:p>
            <w:r>
              <w:rPr>
                <w:b w:val="false"/>
                <w:bCs w:val="false"/>
                <w:sz w:val="20"/>
                <w:szCs w:val="20"/>
              </w:rPr>
              <w:t xml:space="preserve">Jonathan</w:t>
            </w:r>
          </w:p>
        </w:tc>
        <w:tc>
          <w:tcPr>
            <w:tcW w:type="dxa" w:w="3000"/>
            <w:tcMar>
              <w:top w:type="dxa" w:w="80"/>
              <w:left w:type="dxa" w:w="100"/>
              <w:bottom w:type="dxa" w:w="80"/>
              <w:right w:type="dxa" w:w="100"/>
            </w:tcMar>
            <w:vAlign w:val="center"/>
          </w:tcPr>
          <w:p>
            <w:r>
              <w:rPr>
                <w:b w:val="false"/>
                <w:bCs w:val="false"/>
                <w:sz w:val="20"/>
                <w:szCs w:val="20"/>
              </w:rPr>
              <w:t xml:space="preserve">Treat pipeline_runs as the source of truth for run status; add a temporary Logs interface endpoint only if deeper debugging is actually needed.</w:t>
            </w:r>
          </w:p>
        </w:tc>
      </w:tr>
    </w:tbl>
    <w:p>
      <w:pPr>
        <w:pStyle w:val="Heading1"/>
        <w:spacing w:after="120" w:before="320"/>
      </w:pPr>
      <w:r>
        <w:t xml:space="preserve">Glossary</w:t>
      </w:r>
    </w:p>
    <w:p>
      <w:pPr>
        <w:pStyle w:val="ListParagraph"/>
        <w:numPr>
          <w:ilvl w:val="0"/>
          <w:numId w:val="1"/>
        </w:numPr>
        <w:spacing w:after="80"/>
      </w:pPr>
      <w:r>
        <w:rPr>
          <w:sz w:val="22"/>
          <w:szCs w:val="22"/>
        </w:rPr>
        <w:t xml:space="preserve">OFAC: Office of Foreign Assets Control, the U.S. Treasury agency that administers sanctions programs.</w:t>
      </w:r>
    </w:p>
    <w:p>
      <w:pPr>
        <w:pStyle w:val="ListParagraph"/>
        <w:numPr>
          <w:ilvl w:val="0"/>
          <w:numId w:val="1"/>
        </w:numPr>
        <w:spacing w:after="80"/>
      </w:pPr>
      <w:r>
        <w:rPr>
          <w:sz w:val="22"/>
          <w:szCs w:val="22"/>
        </w:rPr>
        <w:t xml:space="preserve">SDN: Specially Designated Nationals list, OFAC's primary sanctions list of blocked individuals and entities.</w:t>
      </w:r>
    </w:p>
    <w:p>
      <w:pPr>
        <w:pStyle w:val="ListParagraph"/>
        <w:numPr>
          <w:ilvl w:val="0"/>
          <w:numId w:val="1"/>
        </w:numPr>
        <w:spacing w:after="80"/>
      </w:pPr>
      <w:r>
        <w:rPr>
          <w:sz w:val="22"/>
          <w:szCs w:val="22"/>
        </w:rPr>
        <w:t xml:space="preserve">SLS: Sanctions List Service, OFAC's API and file-export platform for SDN and related data.</w:t>
      </w:r>
    </w:p>
    <w:p>
      <w:pPr>
        <w:pStyle w:val="ListParagraph"/>
        <w:numPr>
          <w:ilvl w:val="0"/>
          <w:numId w:val="1"/>
        </w:numPr>
        <w:spacing w:after="80"/>
      </w:pPr>
      <w:r>
        <w:rPr>
          <w:sz w:val="22"/>
          <w:szCs w:val="22"/>
        </w:rPr>
        <w:t xml:space="preserve">ent_num: OFAC's internal unique identifier for an SDN entity, used here as the upsert key.</w:t>
      </w:r>
    </w:p>
    <w:p>
      <w:pPr>
        <w:pStyle w:val="ListParagraph"/>
        <w:numPr>
          <w:ilvl w:val="0"/>
          <w:numId w:val="1"/>
        </w:numPr>
        <w:spacing w:after="80"/>
      </w:pPr>
      <w:r>
        <w:rPr>
          <w:sz w:val="22"/>
          <w:szCs w:val="22"/>
        </w:rPr>
        <w:t xml:space="preserve">AKA: “Also Known As,” an alias entry for an SDN entity.</w:t>
      </w:r>
    </w:p>
    <w:p>
      <w:pPr>
        <w:pStyle w:val="ListParagraph"/>
        <w:numPr>
          <w:ilvl w:val="0"/>
          <w:numId w:val="1"/>
        </w:numPr>
        <w:spacing w:after="80"/>
      </w:pPr>
      <w:r>
        <w:rPr>
          <w:sz w:val="22"/>
          <w:szCs w:val="22"/>
        </w:rPr>
        <w:t xml:space="preserve">Upsert: an insert-or-update database operation, used here to keep the load idempotent.</w:t>
      </w:r>
    </w:p>
    <w:p>
      <w:pPr>
        <w:pStyle w:val="ListParagraph"/>
        <w:numPr>
          <w:ilvl w:val="0"/>
          <w:numId w:val="1"/>
        </w:numPr>
        <w:spacing w:after="80"/>
      </w:pPr>
      <w:r>
        <w:rPr>
          <w:sz w:val="22"/>
          <w:szCs w:val="22"/>
        </w:rPr>
        <w:t xml:space="preserve">rapidfuzz: the Python library used for fuzzy string matching in the screening job.</w:t>
      </w:r>
    </w:p>
    <w:p>
      <w:pPr>
        <w:pStyle w:val="ListParagraph"/>
        <w:numPr>
          <w:ilvl w:val="0"/>
          <w:numId w:val="1"/>
        </w:numPr>
        <w:spacing w:after="80"/>
      </w:pPr>
      <w:r>
        <w:rPr>
          <w:sz w:val="22"/>
          <w:szCs w:val="22"/>
        </w:rPr>
        <w:t xml:space="preserve">NAT Gateway: a managed AWS service that gives private-subnet resources outbound internet access; billed hourly with no free tier, which is why this design avoids needing one.</w:t>
      </w:r>
    </w:p>
    <w:p>
      <w:pPr>
        <w:pStyle w:val="ListParagraph"/>
        <w:numPr>
          <w:ilvl w:val="0"/>
          <w:numId w:val="1"/>
        </w:numPr>
        <w:spacing w:after="80"/>
      </w:pPr>
      <w:r>
        <w:rPr>
          <w:sz w:val="22"/>
          <w:szCs w:val="22"/>
        </w:rPr>
        <w:t xml:space="preserve">VPC Gateway Endpoint: a free, private connection from a VPC to S3 or DynamoDB that doesn't require internet access or a NAT Gateway.</w:t>
      </w:r>
    </w:p>
    <w:p>
      <w:pPr>
        <w:pStyle w:val="ListParagraph"/>
        <w:numPr>
          <w:ilvl w:val="0"/>
          <w:numId w:val="1"/>
        </w:numPr>
        <w:spacing w:after="80"/>
      </w:pPr>
      <w:r>
        <w:rPr>
          <w:sz w:val="22"/>
          <w:szCs w:val="22"/>
        </w:rPr>
        <w:t xml:space="preserve">IAM database authentication: an RDS feature that lets a Lambda's execution role generate short-lived login tokens instead of using a stored password.</w:t>
      </w:r>
    </w:p>
    <w:p>
      <w:pPr>
        <w:pStyle w:val="ListParagraph"/>
        <w:numPr>
          <w:ilvl w:val="0"/>
          <w:numId w:val="1"/>
        </w:numPr>
        <w:spacing w:after="80"/>
      </w:pPr>
      <w:r>
        <w:rPr>
          <w:sz w:val="22"/>
          <w:szCs w:val="22"/>
        </w:rPr>
        <w:t xml:space="preserve">OIDC: OpenID Connect, used here to let GitHub Actions assume an AWS IAM role without storing long-lived AWS credentials as a repo secret.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2026-09-16T01:18:50.928Z</dcterms:created>
  <dcterms:modified xsi:type="dcterms:W3CDTF">2026-09-16T01:18:50.936Z</dcterms:modified>
</cp:coreProperties>
</file>

<file path=docProps/custom.xml><?xml version="1.0" encoding="utf-8"?>
<Properties xmlns="http://schemas.openxmlformats.org/officeDocument/2006/custom-properties" xmlns:vt="http://schemas.openxmlformats.org/officeDocument/2006/docPropsVTypes"/>
</file>