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Observatoire Ecom Studio</w:t>
      </w:r>
    </w:p>
    <w:p>
      <w:pPr>
        <w:spacing w:after="60"/>
      </w:pPr>
      <w:r>
        <w:rPr>
          <w:color w:val="595959"/>
          <w:sz w:val="24"/>
          <w:szCs w:val="24"/>
        </w:rPr>
        <w:t xml:space="preserve">Note de synthèse projet — à destination des équipes métier Cultura</w:t>
      </w:r>
    </w:p>
    <w:p>
      <w:pPr>
        <w:spacing w:after="240"/>
      </w:pPr>
      <w:r>
        <w:rPr>
          <w:i/>
          <w:iCs/>
          <w:color w:val="595959"/>
          <w:sz w:val="20"/>
          <w:szCs w:val="20"/>
        </w:rPr>
        <w:t xml:space="preserve">15 septembre 2026  ·  eXalt (Jonathan Dupau)</w:t>
      </w:r>
    </w:p>
    <w:p>
      <w:pPr>
        <w:pBdr>
          <w:bottom w:val="single" w:color="BFBFBF" w:sz="6" w:space="1"/>
        </w:pBdr>
        <w:spacing w:after="200" w:before="60"/>
      </w:pPr>
    </w:p>
    <w:p>
      <w:pPr>
        <w:pStyle w:val="Heading1"/>
        <w:spacing w:after="120" w:before="260"/>
      </w:pPr>
      <w:r>
        <w:rPr>
          <w:b/>
          <w:bCs/>
          <w:color w:val="1F4E5F"/>
          <w:sz w:val="26"/>
          <w:szCs w:val="26"/>
        </w:rPr>
        <w:t xml:space="preserve">1. Contexte et objectif</w:t>
      </w:r>
    </w:p>
    <w:p>
      <w:pPr>
        <w:spacing w:after="130" w:line="264"/>
      </w:pPr>
      <w:r>
        <w:rPr>
          <w:sz w:val="22"/>
          <w:szCs w:val="22"/>
        </w:rPr>
        <w:t xml:space="preserve">Chaque mois, l'équipe e-commerce de Cultura doit analyser environ 11 000 verbatims clients (retours post-commande MDTC et avis Mopinion) pour prioriser ses actions sur cultura.com. Cette lecture était jusqu'ici manuelle et chronophage.</w:t>
      </w:r>
    </w:p>
    <w:p>
      <w:pPr>
        <w:spacing w:after="130" w:line="264"/>
      </w:pPr>
      <w:r>
        <w:rPr>
          <w:sz w:val="22"/>
          <w:szCs w:val="22"/>
        </w:rPr>
        <w:t xml:space="preserve">Observatoire Ecom Studio est l'application développée par eXalt pour l'automatiser : elle classe chaque verbatim par thème, détecte le ton du client (sentiment) et des signaux d'alerte (rupture, risque de churn, forte insatisfaction), puis oriente les cas incertains vers une revue humaine ciblée. L'ensemble fonctionne en local, hors ligne, sans qu'aucune donnée ne quitte le poste de travail (conformité RGPD by design).</w:t>
      </w:r>
    </w:p>
    <w:p>
      <w:pPr>
        <w:pStyle w:val="Heading1"/>
        <w:spacing w:after="120" w:before="260"/>
      </w:pPr>
      <w:r>
        <w:rPr>
          <w:b/>
          <w:bCs/>
          <w:color w:val="1F4E5F"/>
          <w:sz w:val="26"/>
          <w:szCs w:val="26"/>
        </w:rPr>
        <w:t xml:space="preserve">2. Ce qui a été fait</w:t>
      </w:r>
    </w:p>
    <w:p>
      <w:pPr>
        <w:pStyle w:val="ListParagraph"/>
        <w:numPr>
          <w:ilvl w:val="0"/>
          <w:numId w:val="2"/>
        </w:numPr>
        <w:spacing w:after="70" w:line="264"/>
      </w:pPr>
      <w:r>
        <w:rPr>
          <w:sz w:val="22"/>
          <w:szCs w:val="22"/>
        </w:rPr>
        <w:t xml:space="preserve">Développement de l'application complète (juin 2026) : authentification et gestion des accès, traitement automatisé des fichiers Excel mensuels, consultation et export des résultats, écran de revue humaine, tableaux de bord de pilotage, administration et gestion RGPD (rétention, purge).</w:t>
      </w:r>
    </w:p>
    <w:p>
      <w:pPr>
        <w:pStyle w:val="ListParagraph"/>
        <w:numPr>
          <w:ilvl w:val="0"/>
          <w:numId w:val="2"/>
        </w:numPr>
        <w:spacing w:after="70" w:line="264"/>
      </w:pPr>
      <w:r>
        <w:rPr>
          <w:sz w:val="22"/>
          <w:szCs w:val="22"/>
        </w:rPr>
        <w:t xml:space="preserve">Habillage graphique aux couleurs Cultura et ergonomie pensée pour un usage métier autonome.</w:t>
      </w:r>
    </w:p>
    <w:p>
      <w:pPr>
        <w:pStyle w:val="ListParagraph"/>
        <w:numPr>
          <w:ilvl w:val="0"/>
          <w:numId w:val="2"/>
        </w:numPr>
        <w:spacing w:after="70" w:line="264"/>
      </w:pPr>
      <w:r>
        <w:rPr>
          <w:sz w:val="22"/>
          <w:szCs w:val="22"/>
        </w:rPr>
        <w:t xml:space="preserve">Consolidation de l'outil : robustesse des traitements, sauvegarde et transfert entre postes, documentation d'exploitation et dossier de passation.</w:t>
      </w:r>
    </w:p>
    <w:p>
      <w:pPr>
        <w:pStyle w:val="ListParagraph"/>
        <w:numPr>
          <w:ilvl w:val="0"/>
          <w:numId w:val="2"/>
        </w:numPr>
        <w:spacing w:after="70" w:line="264"/>
      </w:pPr>
      <w:r>
        <w:rPr>
          <w:sz w:val="22"/>
          <w:szCs w:val="22"/>
        </w:rPr>
        <w:t xml:space="preserve">Ajout d'un second moteur de classification local, puis d'un mode de comparaison objectif entre moteurs pour objectiver les choix techniques. Un mode de test avec Claude a été intégré à titre de comparaison uniquement : il n'est jamais utilisé pour classer les verbatims réels.</w:t>
      </w:r>
    </w:p>
    <w:p>
      <w:pPr>
        <w:pStyle w:val="ListParagraph"/>
        <w:numPr>
          <w:ilvl w:val="0"/>
          <w:numId w:val="2"/>
        </w:numPr>
        <w:spacing w:after="70" w:line="264"/>
      </w:pPr>
      <w:r>
        <w:rPr>
          <w:sz w:val="22"/>
          <w:szCs w:val="22"/>
        </w:rPr>
        <w:t xml:space="preserve">Enrichissement de la revue humaine — saisie libre de nouveaux thèmes, export filtré (juillet 2026).</w:t>
      </w:r>
    </w:p>
    <w:p>
      <w:pPr>
        <w:pStyle w:val="ListParagraph"/>
        <w:numPr>
          <w:ilvl w:val="0"/>
          <w:numId w:val="2"/>
        </w:numPr>
        <w:spacing w:after="70" w:line="264"/>
      </w:pPr>
      <w:r>
        <w:rPr>
          <w:sz w:val="22"/>
          <w:szCs w:val="22"/>
        </w:rPr>
        <w:t xml:space="preserve">Refonte du moteur de classification (septembre 2026) : le moteur historique avait été mesuré sur un jeu de données non représentatif (quasi-doublons entre entraînement et test), ce qui rendait ses résultats publiés invalides. Un nouveau moteur a été entièrement ré-entraîné sur les données réelles de Cultura (7 068 verbatims annotés, référentiel à 11 thèmes / 59 sous-thèmes), avec un protocole de mesure fiable.</w:t>
      </w:r>
    </w:p>
    <w:p>
      <w:pPr>
        <w:pStyle w:val="Heading1"/>
        <w:spacing w:after="120" w:before="260"/>
      </w:pPr>
      <w:r>
        <w:rPr>
          <w:b/>
          <w:bCs/>
          <w:color w:val="1F4E5F"/>
          <w:sz w:val="26"/>
          <w:szCs w:val="26"/>
        </w:rPr>
        <w:t xml:space="preserve">3. Résultats mesurés du nouveau moteur (recette du 11 septembre 2026)</w:t>
      </w:r>
    </w:p>
    <w:p>
      <w:pPr>
        <w:spacing w:after="130" w:line="264"/>
      </w:pPr>
      <w:r>
        <w:rPr>
          <w:sz w:val="22"/>
          <w:szCs w:val="22"/>
        </w:rPr>
        <w:t xml:space="preserve">Comparaison chiffrée entre l'ancien moteur et le nouveau, sur un même jeu de test jamais vu à l'entraînement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cantSplit/>
          <w:tblHeader/>
        </w:trPr>
        <w:tc>
          <w:tcPr>
            <w:tcW w:type="dxa" w:w="3182"/>
            <w:shd w:fill="EAF2F1" w:val="clear"/>
            <w:tcMar>
              <w:top w:type="dxa" w:w="80"/>
              <w:left w:type="dxa" w:w="100"/>
              <w:bottom w:type="dxa" w:w="80"/>
              <w:right w:type="dxa" w:w="100"/>
            </w:tcMar>
          </w:tcPr>
          <w:p>
            <w:pPr>
              <w:jc w:val="left"/>
            </w:pPr>
            <w:r>
              <w:rPr>
                <w:b/>
                <w:bCs/>
                <w:color w:val="1F4E5F"/>
                <w:sz w:val="20"/>
                <w:szCs w:val="20"/>
              </w:rPr>
              <w:t xml:space="preserve">Indicateur</w:t>
            </w:r>
          </w:p>
        </w:tc>
        <w:tc>
          <w:tcPr>
            <w:tcW w:type="dxa" w:w="2059"/>
            <w:shd w:fill="EAF2F1" w:val="clear"/>
            <w:tcMar>
              <w:top w:type="dxa" w:w="80"/>
              <w:left w:type="dxa" w:w="100"/>
              <w:bottom w:type="dxa" w:w="80"/>
              <w:right w:type="dxa" w:w="100"/>
            </w:tcMar>
          </w:tcPr>
          <w:p>
            <w:pPr>
              <w:jc w:val="left"/>
            </w:pPr>
            <w:r>
              <w:rPr>
                <w:b/>
                <w:bCs/>
                <w:color w:val="1F4E5F"/>
                <w:sz w:val="20"/>
                <w:szCs w:val="20"/>
              </w:rPr>
              <w:t xml:space="preserve">Ancien moteur</w:t>
            </w:r>
          </w:p>
        </w:tc>
        <w:tc>
          <w:tcPr>
            <w:tcW w:type="dxa" w:w="2059"/>
            <w:shd w:fill="EAF2F1" w:val="clear"/>
            <w:tcMar>
              <w:top w:type="dxa" w:w="80"/>
              <w:left w:type="dxa" w:w="100"/>
              <w:bottom w:type="dxa" w:w="80"/>
              <w:right w:type="dxa" w:w="100"/>
            </w:tcMar>
          </w:tcPr>
          <w:p>
            <w:pPr>
              <w:jc w:val="left"/>
            </w:pPr>
            <w:r>
              <w:rPr>
                <w:b/>
                <w:bCs/>
                <w:color w:val="1F4E5F"/>
                <w:sz w:val="20"/>
                <w:szCs w:val="20"/>
              </w:rPr>
              <w:t xml:space="preserve">Nouveau moteur</w:t>
            </w:r>
          </w:p>
        </w:tc>
        <w:tc>
          <w:tcPr>
            <w:tcW w:type="dxa" w:w="2059"/>
            <w:shd w:fill="EAF2F1" w:val="clear"/>
            <w:tcMar>
              <w:top w:type="dxa" w:w="80"/>
              <w:left w:type="dxa" w:w="100"/>
              <w:bottom w:type="dxa" w:w="80"/>
              <w:right w:type="dxa" w:w="100"/>
            </w:tcMar>
          </w:tcPr>
          <w:p>
            <w:pPr>
              <w:jc w:val="left"/>
            </w:pPr>
            <w:r>
              <w:rPr>
                <w:b/>
                <w:bCs/>
                <w:color w:val="1F4E5F"/>
                <w:sz w:val="20"/>
                <w:szCs w:val="20"/>
              </w:rPr>
              <w:t xml:space="preserve">Objectif</w:t>
            </w:r>
          </w:p>
        </w:tc>
      </w:tr>
      <w:tr>
        <w:trPr>
          <w:cantSplit/>
        </w:trPr>
        <w:tc>
          <w:tcPr>
            <w:tcW w:type="dxa" w:w="3182"/>
            <w:tcMar>
              <w:top w:type="dxa" w:w="80"/>
              <w:left w:type="dxa" w:w="100"/>
              <w:bottom w:type="dxa" w:w="80"/>
              <w:right w:type="dxa" w:w="100"/>
            </w:tcMar>
          </w:tcPr>
          <w:p>
            <w:pPr>
              <w:jc w:val="left"/>
            </w:pPr>
            <w:r>
              <w:rPr>
                <w:b w:val="false"/>
                <w:bCs w:val="false"/>
                <w:color w:val="000000"/>
                <w:sz w:val="20"/>
                <w:szCs w:val="20"/>
              </w:rPr>
              <w:t xml:space="preserve">Justesse du ton détecté (sentiment)</w:t>
            </w:r>
          </w:p>
        </w:tc>
        <w:tc>
          <w:tcPr>
            <w:tcW w:type="dxa" w:w="2059"/>
            <w:tcMar>
              <w:top w:type="dxa" w:w="80"/>
              <w:left w:type="dxa" w:w="100"/>
              <w:bottom w:type="dxa" w:w="80"/>
              <w:right w:type="dxa" w:w="100"/>
            </w:tcMar>
          </w:tcPr>
          <w:p>
            <w:pPr>
              <w:jc w:val="left"/>
            </w:pPr>
            <w:r>
              <w:rPr>
                <w:b w:val="false"/>
                <w:bCs w:val="false"/>
                <w:color w:val="000000"/>
                <w:sz w:val="20"/>
                <w:szCs w:val="20"/>
              </w:rPr>
              <w:t xml:space="preserve">81 %</w:t>
            </w:r>
          </w:p>
        </w:tc>
        <w:tc>
          <w:tcPr>
            <w:tcW w:type="dxa" w:w="2059"/>
            <w:tcMar>
              <w:top w:type="dxa" w:w="80"/>
              <w:left w:type="dxa" w:w="100"/>
              <w:bottom w:type="dxa" w:w="80"/>
              <w:right w:type="dxa" w:w="100"/>
            </w:tcMar>
          </w:tcPr>
          <w:p>
            <w:pPr>
              <w:jc w:val="left"/>
            </w:pPr>
            <w:r>
              <w:rPr>
                <w:b w:val="false"/>
                <w:bCs w:val="false"/>
                <w:color w:val="000000"/>
                <w:sz w:val="20"/>
                <w:szCs w:val="20"/>
              </w:rPr>
              <w:t xml:space="preserve">94 %</w:t>
            </w:r>
          </w:p>
        </w:tc>
        <w:tc>
          <w:tcPr>
            <w:tcW w:type="dxa" w:w="2059"/>
            <w:tcMar>
              <w:top w:type="dxa" w:w="80"/>
              <w:left w:type="dxa" w:w="100"/>
              <w:bottom w:type="dxa" w:w="80"/>
              <w:right w:type="dxa" w:w="100"/>
            </w:tcMar>
          </w:tcPr>
          <w:p>
            <w:pPr>
              <w:jc w:val="left"/>
            </w:pPr>
            <w:r>
              <w:rPr>
                <w:b w:val="false"/>
                <w:bCs w:val="false"/>
                <w:color w:val="000000"/>
                <w:sz w:val="20"/>
                <w:szCs w:val="20"/>
              </w:rPr>
              <w:t xml:space="preserve">Faire mieux que l'ancien — atteint</w:t>
            </w:r>
          </w:p>
        </w:tc>
      </w:tr>
      <w:tr>
        <w:trPr>
          <w:cantSplit/>
        </w:trPr>
        <w:tc>
          <w:tcPr>
            <w:tcW w:type="dxa" w:w="3182"/>
            <w:tcMar>
              <w:top w:type="dxa" w:w="80"/>
              <w:left w:type="dxa" w:w="100"/>
              <w:bottom w:type="dxa" w:w="80"/>
              <w:right w:type="dxa" w:w="100"/>
            </w:tcMar>
          </w:tcPr>
          <w:p>
            <w:pPr>
              <w:jc w:val="left"/>
            </w:pPr>
            <w:r>
              <w:rPr>
                <w:b w:val="false"/>
                <w:bCs w:val="false"/>
                <w:color w:val="000000"/>
                <w:sz w:val="20"/>
                <w:szCs w:val="20"/>
              </w:rPr>
              <w:t xml:space="preserve">Faux « doubles thèmes » qui gonflaient artificiellement les volumes</w:t>
            </w:r>
          </w:p>
        </w:tc>
        <w:tc>
          <w:tcPr>
            <w:tcW w:type="dxa" w:w="2059"/>
            <w:tcMar>
              <w:top w:type="dxa" w:w="80"/>
              <w:left w:type="dxa" w:w="100"/>
              <w:bottom w:type="dxa" w:w="80"/>
              <w:right w:type="dxa" w:w="100"/>
            </w:tcMar>
          </w:tcPr>
          <w:p>
            <w:pPr>
              <w:jc w:val="left"/>
            </w:pPr>
            <w:r>
              <w:rPr>
                <w:b w:val="false"/>
                <w:bCs w:val="false"/>
                <w:color w:val="000000"/>
                <w:sz w:val="20"/>
                <w:szCs w:val="20"/>
              </w:rPr>
              <w:t xml:space="preserve">95 % des verbatims</w:t>
            </w:r>
          </w:p>
        </w:tc>
        <w:tc>
          <w:tcPr>
            <w:tcW w:type="dxa" w:w="2059"/>
            <w:tcMar>
              <w:top w:type="dxa" w:w="80"/>
              <w:left w:type="dxa" w:w="100"/>
              <w:bottom w:type="dxa" w:w="80"/>
              <w:right w:type="dxa" w:w="100"/>
            </w:tcMar>
          </w:tcPr>
          <w:p>
            <w:pPr>
              <w:jc w:val="left"/>
            </w:pPr>
            <w:r>
              <w:rPr>
                <w:b w:val="false"/>
                <w:bCs w:val="false"/>
                <w:color w:val="000000"/>
                <w:sz w:val="20"/>
                <w:szCs w:val="20"/>
              </w:rPr>
              <w:t xml:space="preserve">6 % (réalité mesurée : 3,5 %)</w:t>
            </w:r>
          </w:p>
        </w:tc>
        <w:tc>
          <w:tcPr>
            <w:tcW w:type="dxa" w:w="2059"/>
            <w:tcMar>
              <w:top w:type="dxa" w:w="80"/>
              <w:left w:type="dxa" w:w="100"/>
              <w:bottom w:type="dxa" w:w="80"/>
              <w:right w:type="dxa" w:w="100"/>
            </w:tcMar>
          </w:tcPr>
          <w:p>
            <w:pPr>
              <w:jc w:val="left"/>
            </w:pPr>
            <w:r>
              <w:rPr>
                <w:b w:val="false"/>
                <w:bCs w:val="false"/>
                <w:color w:val="000000"/>
                <w:sz w:val="20"/>
                <w:szCs w:val="20"/>
              </w:rPr>
              <w:t xml:space="preserve">≤ 10 % — atteint</w:t>
            </w:r>
          </w:p>
        </w:tc>
      </w:tr>
      <w:tr>
        <w:trPr>
          <w:cantSplit/>
        </w:trPr>
        <w:tc>
          <w:tcPr>
            <w:tcW w:type="dxa" w:w="3182"/>
            <w:tcMar>
              <w:top w:type="dxa" w:w="80"/>
              <w:left w:type="dxa" w:w="100"/>
              <w:bottom w:type="dxa" w:w="80"/>
              <w:right w:type="dxa" w:w="100"/>
            </w:tcMar>
          </w:tcPr>
          <w:p>
            <w:pPr>
              <w:jc w:val="left"/>
            </w:pPr>
            <w:r>
              <w:rPr>
                <w:b w:val="false"/>
                <w:bCs w:val="false"/>
                <w:color w:val="000000"/>
                <w:sz w:val="20"/>
                <w:szCs w:val="20"/>
              </w:rPr>
              <w:t xml:space="preserve">Écart sur les volumes remontés par thème (base de la priorisation)</w:t>
            </w:r>
          </w:p>
        </w:tc>
        <w:tc>
          <w:tcPr>
            <w:tcW w:type="dxa" w:w="2059"/>
            <w:tcMar>
              <w:top w:type="dxa" w:w="80"/>
              <w:left w:type="dxa" w:w="100"/>
              <w:bottom w:type="dxa" w:w="80"/>
              <w:right w:type="dxa" w:w="100"/>
            </w:tcMar>
          </w:tcPr>
          <w:p>
            <w:pPr>
              <w:jc w:val="left"/>
            </w:pPr>
            <w:r>
              <w:rPr>
                <w:b w:val="false"/>
                <w:bCs w:val="false"/>
                <w:color w:val="000000"/>
                <w:sz w:val="20"/>
                <w:szCs w:val="20"/>
              </w:rPr>
              <w:t xml:space="preserve">non mesuré de façon fiable</w:t>
            </w:r>
          </w:p>
        </w:tc>
        <w:tc>
          <w:tcPr>
            <w:tcW w:type="dxa" w:w="2059"/>
            <w:tcMar>
              <w:top w:type="dxa" w:w="80"/>
              <w:left w:type="dxa" w:w="100"/>
              <w:bottom w:type="dxa" w:w="80"/>
              <w:right w:type="dxa" w:w="100"/>
            </w:tcMar>
          </w:tcPr>
          <w:p>
            <w:pPr>
              <w:jc w:val="left"/>
            </w:pPr>
            <w:r>
              <w:rPr>
                <w:b w:val="false"/>
                <w:bCs w:val="false"/>
                <w:color w:val="000000"/>
                <w:sz w:val="20"/>
                <w:szCs w:val="20"/>
              </w:rPr>
              <w:t xml:space="preserve">12,5 %</w:t>
            </w:r>
          </w:p>
        </w:tc>
        <w:tc>
          <w:tcPr>
            <w:tcW w:type="dxa" w:w="2059"/>
            <w:tcMar>
              <w:top w:type="dxa" w:w="80"/>
              <w:left w:type="dxa" w:w="100"/>
              <w:bottom w:type="dxa" w:w="80"/>
              <w:right w:type="dxa" w:w="100"/>
            </w:tcMar>
          </w:tcPr>
          <w:p>
            <w:pPr>
              <w:jc w:val="left"/>
            </w:pPr>
            <w:r>
              <w:rPr>
                <w:b w:val="false"/>
                <w:bCs w:val="false"/>
                <w:color w:val="000000"/>
                <w:sz w:val="20"/>
                <w:szCs w:val="20"/>
              </w:rPr>
              <w:t xml:space="preserve">≤ 15 % — atteint</w:t>
            </w:r>
          </w:p>
        </w:tc>
      </w:tr>
      <w:tr>
        <w:trPr>
          <w:cantSplit/>
        </w:trPr>
        <w:tc>
          <w:tcPr>
            <w:tcW w:type="dxa" w:w="3182"/>
            <w:tcMar>
              <w:top w:type="dxa" w:w="80"/>
              <w:left w:type="dxa" w:w="100"/>
              <w:bottom w:type="dxa" w:w="80"/>
              <w:right w:type="dxa" w:w="100"/>
            </w:tcMar>
          </w:tcPr>
          <w:p>
            <w:pPr>
              <w:jc w:val="left"/>
            </w:pPr>
            <w:r>
              <w:rPr>
                <w:b w:val="false"/>
                <w:bCs w:val="false"/>
                <w:color w:val="000000"/>
                <w:sz w:val="20"/>
                <w:szCs w:val="20"/>
              </w:rPr>
              <w:t xml:space="preserve">Vitesse de traitement d'un lot mensuel (~11 000 verbatims)</w:t>
            </w:r>
          </w:p>
        </w:tc>
        <w:tc>
          <w:tcPr>
            <w:tcW w:type="dxa" w:w="2059"/>
            <w:tcMar>
              <w:top w:type="dxa" w:w="80"/>
              <w:left w:type="dxa" w:w="100"/>
              <w:bottom w:type="dxa" w:w="80"/>
              <w:right w:type="dxa" w:w="100"/>
            </w:tcMar>
          </w:tcPr>
          <w:p>
            <w:pPr>
              <w:jc w:val="left"/>
            </w:pPr>
            <w:r>
              <w:rPr>
                <w:b w:val="false"/>
                <w:bCs w:val="false"/>
                <w:color w:val="000000"/>
                <w:sz w:val="20"/>
                <w:szCs w:val="20"/>
              </w:rPr>
              <w:t xml:space="preserve">—</w:t>
            </w:r>
          </w:p>
        </w:tc>
        <w:tc>
          <w:tcPr>
            <w:tcW w:type="dxa" w:w="2059"/>
            <w:tcMar>
              <w:top w:type="dxa" w:w="80"/>
              <w:left w:type="dxa" w:w="100"/>
              <w:bottom w:type="dxa" w:w="80"/>
              <w:right w:type="dxa" w:w="100"/>
            </w:tcMar>
          </w:tcPr>
          <w:p>
            <w:pPr>
              <w:jc w:val="left"/>
            </w:pPr>
            <w:r>
              <w:rPr>
                <w:b w:val="false"/>
                <w:bCs w:val="false"/>
                <w:color w:val="000000"/>
                <w:sz w:val="20"/>
                <w:szCs w:val="20"/>
              </w:rPr>
              <w:t xml:space="preserve">≈ 8 minutes</w:t>
            </w:r>
          </w:p>
        </w:tc>
        <w:tc>
          <w:tcPr>
            <w:tcW w:type="dxa" w:w="2059"/>
            <w:tcMar>
              <w:top w:type="dxa" w:w="80"/>
              <w:left w:type="dxa" w:w="100"/>
              <w:bottom w:type="dxa" w:w="80"/>
              <w:right w:type="dxa" w:w="100"/>
            </w:tcMar>
          </w:tcPr>
          <w:p>
            <w:pPr>
              <w:jc w:val="left"/>
            </w:pPr>
            <w:r>
              <w:rPr>
                <w:b w:val="false"/>
                <w:bCs w:val="false"/>
                <w:color w:val="000000"/>
                <w:sz w:val="20"/>
                <w:szCs w:val="20"/>
              </w:rPr>
              <w:t xml:space="preserve">&lt; 2 heures — atteint</w:t>
            </w:r>
          </w:p>
        </w:tc>
      </w:tr>
    </w:tbl>
    <w:p>
      <w:pPr>
        <w:spacing w:after="160" w:before="160"/>
      </w:pPr>
    </w:p>
    <w:p>
      <w:pPr>
        <w:spacing w:after="130" w:line="264"/>
      </w:pPr>
      <w:r>
        <w:rPr>
          <w:sz w:val="22"/>
          <w:szCs w:val="22"/>
        </w:rPr>
        <w:t xml:space="preserve">L'ensemble des fonctionnalités déjà en service (versions V1 à V6) continuent de fonctionner sans dégradation : 249 tests automatisés de non-régression au vert.</w:t>
      </w:r>
    </w:p>
    <w:p>
      <w:pPr>
        <w:pStyle w:val="Heading1"/>
        <w:spacing w:after="120" w:before="260"/>
      </w:pPr>
      <w:r>
        <w:rPr>
          <w:b/>
          <w:bCs/>
          <w:color w:val="1F4E5F"/>
          <w:sz w:val="26"/>
          <w:szCs w:val="26"/>
        </w:rPr>
        <w:t xml:space="preserve">4. Livrables</w:t>
      </w:r>
    </w:p>
    <w:p>
      <w:pPr>
        <w:pStyle w:val="ListParagraph"/>
        <w:numPr>
          <w:ilvl w:val="0"/>
          <w:numId w:val="2"/>
        </w:numPr>
        <w:spacing w:after="70" w:line="264"/>
      </w:pPr>
      <w:r>
        <w:rPr>
          <w:sz w:val="22"/>
          <w:szCs w:val="22"/>
        </w:rPr>
        <w:t xml:space="preserve">L'application Observatoire Ecom Studio, installée en local chez Cultura, avec tous ses modules (traitement, revue, tableaux de bord, administration).</w:t>
      </w:r>
    </w:p>
    <w:p>
      <w:pPr>
        <w:pStyle w:val="ListParagraph"/>
        <w:numPr>
          <w:ilvl w:val="0"/>
          <w:numId w:val="2"/>
        </w:numPr>
        <w:spacing w:after="70" w:line="264"/>
      </w:pPr>
      <w:r>
        <w:rPr>
          <w:sz w:val="22"/>
          <w:szCs w:val="22"/>
        </w:rPr>
        <w:t xml:space="preserve">Le nouveau moteur de classification « Cultura 2026 », disponible en sélection dans l'application aux côtés de l'ancien moteur — aucune coupure de service ; la bascule en moteur par défaut reste une décision à valider ensemble.</w:t>
      </w:r>
    </w:p>
    <w:p>
      <w:pPr>
        <w:pStyle w:val="ListParagraph"/>
        <w:numPr>
          <w:ilvl w:val="0"/>
          <w:numId w:val="2"/>
        </w:numPr>
        <w:spacing w:after="70" w:line="264"/>
      </w:pPr>
      <w:r>
        <w:rPr>
          <w:sz w:val="22"/>
          <w:szCs w:val="22"/>
        </w:rPr>
        <w:t xml:space="preserve">La documentation complète : guide utilisateur, guide d'exploitation, dossier de passation, cahier des charges.</w:t>
      </w:r>
    </w:p>
    <w:p>
      <w:pPr>
        <w:pStyle w:val="ListParagraph"/>
        <w:numPr>
          <w:ilvl w:val="0"/>
          <w:numId w:val="2"/>
        </w:numPr>
        <w:spacing w:after="70" w:line="264"/>
      </w:pPr>
      <w:r>
        <w:rPr>
          <w:sz w:val="22"/>
          <w:szCs w:val="22"/>
        </w:rPr>
        <w:t xml:space="preserve">Le rapport de recette du nouveau moteur (comparaison chiffrée, verdict détaillé par critère).</w:t>
      </w:r>
    </w:p>
    <w:p>
      <w:pPr>
        <w:pStyle w:val="Heading1"/>
        <w:spacing w:after="120" w:before="260"/>
      </w:pPr>
      <w:r>
        <w:rPr>
          <w:b/>
          <w:bCs/>
          <w:color w:val="1F4E5F"/>
          <w:sz w:val="26"/>
          <w:szCs w:val="26"/>
        </w:rPr>
        <w:t xml:space="preserve">5. Temps passé et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cantSplit/>
          <w:tblHeader/>
        </w:trPr>
        <w:tc>
          <w:tcPr>
            <w:tcW w:type="dxa" w:w="2246"/>
            <w:shd w:fill="EAF2F1" w:val="clear"/>
            <w:tcMar>
              <w:top w:type="dxa" w:w="80"/>
              <w:left w:type="dxa" w:w="100"/>
              <w:bottom w:type="dxa" w:w="80"/>
              <w:right w:type="dxa" w:w="100"/>
            </w:tcMar>
          </w:tcPr>
          <w:p>
            <w:pPr>
              <w:jc w:val="left"/>
            </w:pPr>
            <w:r>
              <w:rPr>
                <w:b/>
                <w:bCs/>
                <w:color w:val="1F4E5F"/>
                <w:sz w:val="20"/>
                <w:szCs w:val="20"/>
              </w:rPr>
              <w:t xml:space="preserve">Chantier</w:t>
            </w:r>
          </w:p>
        </w:tc>
        <w:tc>
          <w:tcPr>
            <w:tcW w:type="dxa" w:w="3557"/>
            <w:shd w:fill="EAF2F1" w:val="clear"/>
            <w:tcMar>
              <w:top w:type="dxa" w:w="80"/>
              <w:left w:type="dxa" w:w="100"/>
              <w:bottom w:type="dxa" w:w="80"/>
              <w:right w:type="dxa" w:w="100"/>
            </w:tcMar>
          </w:tcPr>
          <w:p>
            <w:pPr>
              <w:jc w:val="left"/>
            </w:pPr>
            <w:r>
              <w:rPr>
                <w:b/>
                <w:bCs/>
                <w:color w:val="1F4E5F"/>
                <w:sz w:val="20"/>
                <w:szCs w:val="20"/>
              </w:rPr>
              <w:t xml:space="preserve">Période</w:t>
            </w:r>
          </w:p>
        </w:tc>
        <w:tc>
          <w:tcPr>
            <w:tcW w:type="dxa" w:w="3557"/>
            <w:shd w:fill="EAF2F1" w:val="clear"/>
            <w:tcMar>
              <w:top w:type="dxa" w:w="80"/>
              <w:left w:type="dxa" w:w="100"/>
              <w:bottom w:type="dxa" w:w="80"/>
              <w:right w:type="dxa" w:w="100"/>
            </w:tcMar>
          </w:tcPr>
          <w:p>
            <w:pPr>
              <w:jc w:val="left"/>
            </w:pPr>
            <w:r>
              <w:rPr>
                <w:b/>
                <w:bCs/>
                <w:color w:val="1F4E5F"/>
                <w:sz w:val="20"/>
                <w:szCs w:val="20"/>
              </w:rPr>
              <w:t xml:space="preserve">Constat</w:t>
            </w:r>
          </w:p>
        </w:tc>
      </w:tr>
      <w:tr>
        <w:trPr>
          <w:cantSplit/>
        </w:trPr>
        <w:tc>
          <w:tcPr>
            <w:tcW w:type="dxa" w:w="2246"/>
            <w:tcMar>
              <w:top w:type="dxa" w:w="80"/>
              <w:left w:type="dxa" w:w="100"/>
              <w:bottom w:type="dxa" w:w="80"/>
              <w:right w:type="dxa" w:w="100"/>
            </w:tcMar>
          </w:tcPr>
          <w:p>
            <w:pPr>
              <w:jc w:val="left"/>
            </w:pPr>
            <w:r>
              <w:rPr>
                <w:b w:val="false"/>
                <w:bCs w:val="false"/>
                <w:color w:val="000000"/>
                <w:sz w:val="20"/>
                <w:szCs w:val="20"/>
              </w:rPr>
              <w:t xml:space="preserve">Application (V1 à V6)</w:t>
            </w:r>
          </w:p>
        </w:tc>
        <w:tc>
          <w:tcPr>
            <w:tcW w:type="dxa" w:w="3557"/>
            <w:tcMar>
              <w:top w:type="dxa" w:w="80"/>
              <w:left w:type="dxa" w:w="100"/>
              <w:bottom w:type="dxa" w:w="80"/>
              <w:right w:type="dxa" w:w="100"/>
            </w:tcMar>
          </w:tcPr>
          <w:p>
            <w:pPr>
              <w:jc w:val="left"/>
            </w:pPr>
            <w:r>
              <w:rPr>
                <w:b w:val="false"/>
                <w:bCs w:val="false"/>
                <w:color w:val="000000"/>
                <w:sz w:val="20"/>
                <w:szCs w:val="20"/>
              </w:rPr>
              <w:t xml:space="preserve">17 juin – 22 juillet 2026</w:t>
            </w:r>
          </w:p>
        </w:tc>
        <w:tc>
          <w:tcPr>
            <w:tcW w:type="dxa" w:w="3557"/>
            <w:tcMar>
              <w:top w:type="dxa" w:w="80"/>
              <w:left w:type="dxa" w:w="100"/>
              <w:bottom w:type="dxa" w:w="80"/>
              <w:right w:type="dxa" w:w="100"/>
            </w:tcMar>
          </w:tcPr>
          <w:p>
            <w:pPr>
              <w:jc w:val="left"/>
            </w:pPr>
            <w:r>
              <w:rPr>
                <w:b w:val="false"/>
                <w:bCs w:val="false"/>
                <w:color w:val="000000"/>
                <w:sz w:val="20"/>
                <w:szCs w:val="20"/>
              </w:rPr>
              <w:t xml:space="preserve">Livrée par lots successifs, chacun validé avant le suivant.</w:t>
            </w:r>
          </w:p>
        </w:tc>
      </w:tr>
      <w:tr>
        <w:trPr>
          <w:cantSplit/>
        </w:trPr>
        <w:tc>
          <w:tcPr>
            <w:tcW w:type="dxa" w:w="2246"/>
            <w:tcMar>
              <w:top w:type="dxa" w:w="80"/>
              <w:left w:type="dxa" w:w="100"/>
              <w:bottom w:type="dxa" w:w="80"/>
              <w:right w:type="dxa" w:w="100"/>
            </w:tcMar>
          </w:tcPr>
          <w:p>
            <w:pPr>
              <w:jc w:val="left"/>
            </w:pPr>
            <w:r>
              <w:rPr>
                <w:b w:val="false"/>
                <w:bCs w:val="false"/>
                <w:color w:val="000000"/>
                <w:sz w:val="20"/>
                <w:szCs w:val="20"/>
              </w:rPr>
              <w:t xml:space="preserve">Refonte du moteur de classification</w:t>
            </w:r>
          </w:p>
        </w:tc>
        <w:tc>
          <w:tcPr>
            <w:tcW w:type="dxa" w:w="3557"/>
            <w:tcMar>
              <w:top w:type="dxa" w:w="80"/>
              <w:left w:type="dxa" w:w="100"/>
              <w:bottom w:type="dxa" w:w="80"/>
              <w:right w:type="dxa" w:w="100"/>
            </w:tcMar>
          </w:tcPr>
          <w:p>
            <w:pPr>
              <w:jc w:val="left"/>
            </w:pPr>
            <w:r>
              <w:rPr>
                <w:b w:val="false"/>
                <w:bCs w:val="false"/>
                <w:color w:val="000000"/>
                <w:sz w:val="20"/>
                <w:szCs w:val="20"/>
              </w:rPr>
              <w:t xml:space="preserve">Cadrage arrêté le 9 septembre — planning initial de 19 jours ouvrés, livraison visée au 6 octobre 2026</w:t>
            </w:r>
          </w:p>
        </w:tc>
        <w:tc>
          <w:tcPr>
            <w:tcW w:type="dxa" w:w="3557"/>
            <w:tcMar>
              <w:top w:type="dxa" w:w="80"/>
              <w:left w:type="dxa" w:w="100"/>
              <w:bottom w:type="dxa" w:w="80"/>
              <w:right w:type="dxa" w:w="100"/>
            </w:tcMar>
          </w:tcPr>
          <w:p>
            <w:pPr>
              <w:jc w:val="left"/>
            </w:pPr>
            <w:r>
              <w:rPr>
                <w:b w:val="false"/>
                <w:bCs w:val="false"/>
                <w:color w:val="000000"/>
                <w:sz w:val="20"/>
                <w:szCs w:val="20"/>
              </w:rPr>
              <w:t xml:space="preserve">Recette technique et métier obtenue dès le 11 septembre, soit 2 jours après le lancement — très en avance sur le planning prévisionnel.</w:t>
            </w:r>
          </w:p>
        </w:tc>
      </w:tr>
    </w:tbl>
    <w:p>
      <w:pPr>
        <w:pStyle w:val="Heading1"/>
        <w:spacing w:after="120" w:before="260"/>
      </w:pPr>
      <w:r>
        <w:rPr>
          <w:b/>
          <w:bCs/>
          <w:color w:val="1F4E5F"/>
          <w:sz w:val="26"/>
          <w:szCs w:val="26"/>
        </w:rPr>
        <w:t xml:space="preserve">6. Reste à faire</w:t>
      </w:r>
    </w:p>
    <w:p>
      <w:pPr>
        <w:pStyle w:val="ListParagraph"/>
        <w:numPr>
          <w:ilvl w:val="0"/>
          <w:numId w:val="2"/>
        </w:numPr>
        <w:spacing w:after="70" w:line="264"/>
      </w:pPr>
      <w:r>
        <w:rPr>
          <w:sz w:val="22"/>
          <w:szCs w:val="22"/>
        </w:rPr>
        <w:t xml:space="preserve">Décider et tracer la bascule du nouveau moteur en moteur par défaut (décision métier Cultura / eXalt).</w:t>
      </w:r>
    </w:p>
    <w:p>
      <w:pPr>
        <w:pStyle w:val="ListParagraph"/>
        <w:numPr>
          <w:ilvl w:val="0"/>
          <w:numId w:val="2"/>
        </w:numPr>
        <w:spacing w:after="70" w:line="264"/>
      </w:pPr>
      <w:r>
        <w:rPr>
          <w:sz w:val="22"/>
          <w:szCs w:val="22"/>
        </w:rPr>
        <w:t xml:space="preserve">Mesurer le débit sur un lot réel de ~11 000 verbatims en conditions de production (dernier critère de recette).</w:t>
      </w:r>
    </w:p>
    <w:p>
      <w:pPr>
        <w:pStyle w:val="ListParagraph"/>
        <w:numPr>
          <w:ilvl w:val="0"/>
          <w:numId w:val="2"/>
        </w:numPr>
        <w:spacing w:after="70" w:line="264"/>
      </w:pPr>
      <w:r>
        <w:rPr>
          <w:sz w:val="22"/>
          <w:szCs w:val="22"/>
        </w:rPr>
        <w:t xml:space="preserve">Adapter l'import au nouveau format d'export Cultura 2026.</w:t>
      </w:r>
    </w:p>
    <w:p>
      <w:pPr>
        <w:pStyle w:val="ListParagraph"/>
        <w:numPr>
          <w:ilvl w:val="0"/>
          <w:numId w:val="2"/>
        </w:numPr>
        <w:spacing w:after="70" w:line="264"/>
      </w:pPr>
      <w:r>
        <w:rPr>
          <w:sz w:val="22"/>
          <w:szCs w:val="22"/>
        </w:rPr>
        <w:t xml:space="preserve">Organiser un atelier avec Cultura sur quelques libellés de thèmes qui se recouvrent (ex. « Cartes cadeaux » / « Passer commande »).</w:t>
      </w:r>
    </w:p>
    <w:p>
      <w:pPr>
        <w:pBdr>
          <w:top w:val="single" w:color="BFBFBF" w:sz="4" w:space="4"/>
        </w:pBdr>
        <w:spacing w:before="240"/>
      </w:pPr>
      <w:r>
        <w:rPr>
          <w:i/>
          <w:iCs/>
          <w:color w:val="595959"/>
          <w:sz w:val="18"/>
          <w:szCs w:val="18"/>
        </w:rPr>
        <w:t xml:space="preserve">Projet interne Cultura / eXalt — usage confidentiel.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2026-09-15T08:10:59.741Z</dcterms:created>
  <dcterms:modified xsi:type="dcterms:W3CDTF">2026-09-15T08:10:59.741Z</dcterms:modified>
</cp:coreProperties>
</file>

<file path=docProps/custom.xml><?xml version="1.0" encoding="utf-8"?>
<Properties xmlns="http://schemas.openxmlformats.org/officeDocument/2006/custom-properties" xmlns:vt="http://schemas.openxmlformats.org/officeDocument/2006/docPropsVTypes"/>
</file>