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Manual de usuario</w:t>
      </w:r>
    </w:p>
    <w:p>
      <w:pPr>
        <w:jc w:val="center"/>
      </w:pPr>
      <w:r>
        <w:rPr>
          <w:color w:val="404040"/>
          <w:sz w:val="30"/>
        </w:rPr>
        <w:t>Dashboard de Migración de Adjuntos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Manual de usuario — Dashboard de Migración de Adjuntos</w:t>
      </w:r>
    </w:p>
    <w:p>
      <w:r>
        <w:t>Aplicación web para monitorear y controlar la migración de adjuntos del portal de proveedores hacia Spring Gestión Documental.</w:t>
      </w:r>
    </w:p>
    <w:p>
      <w:r>
        <w:t xml:space="preserve">Acceso local: </w:t>
      </w:r>
      <w:r>
        <w:rPr>
          <w:rFonts w:ascii="Consolas" w:hAnsi="Consolas"/>
          <w:color w:val="C7254E"/>
          <w:sz w:val="19"/>
        </w:rPr>
        <w:t>http://127.0.0.1:5000</w:t>
      </w:r>
      <w:r>
        <w:t xml:space="preserve"> (o la URL del sitio IIS si está desplegado en el servidor).</w:t>
      </w:r>
    </w:p>
    <w:p>
      <w:pPr>
        <w:pStyle w:val="Heading2"/>
      </w:pPr>
      <w:r>
        <w:t>Pestañas</w:t>
      </w:r>
    </w:p>
    <w:p>
      <w:pPr>
        <w:pStyle w:val="Heading3"/>
      </w:pPr>
      <w:r>
        <w:t>1. Dashboard</w:t>
      </w:r>
    </w:p>
    <w:p>
      <w:r>
        <w:t>Tarjetas de resumen:</w:t>
      </w:r>
    </w:p>
    <w:p>
      <w:pPr>
        <w:pStyle w:val="ListBullet"/>
      </w:pPr>
      <w:r>
        <w:rPr>
          <w:b/>
        </w:rPr>
        <w:t>AP total</w:t>
      </w:r>
      <w:r>
        <w:t xml:space="preserve">: archivos en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(portal de facturas).</w:t>
      </w:r>
    </w:p>
    <w:p>
      <w:pPr>
        <w:pStyle w:val="ListBullet"/>
      </w:pPr>
      <w:r>
        <w:rPr>
          <w:b/>
        </w:rPr>
        <w:t>AP pendientes</w:t>
      </w:r>
      <w:r>
        <w:t>: archivos con datos aún sin traslado completado.</w:t>
      </w:r>
    </w:p>
    <w:p>
      <w:pPr>
        <w:pStyle w:val="ListBullet"/>
      </w:pPr>
      <w:r>
        <w:rPr>
          <w:b/>
        </w:rPr>
        <w:t>AP completados</w:t>
      </w:r>
      <w:r>
        <w:t>: archivos ya migrados.</w:t>
      </w:r>
    </w:p>
    <w:p>
      <w:pPr>
        <w:pStyle w:val="ListBullet"/>
      </w:pPr>
      <w:r>
        <w:rPr>
          <w:b/>
        </w:rPr>
        <w:t>MS pendientes</w:t>
      </w:r>
      <w:r>
        <w:t xml:space="preserve">: adjuntos de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pendientes.</w:t>
      </w:r>
    </w:p>
    <w:p>
      <w:pPr>
        <w:pStyle w:val="ListBullet"/>
      </w:pPr>
      <w:r>
        <w:rPr>
          <w:b/>
        </w:rPr>
        <w:t>GD_Archivo (prueba)</w:t>
      </w:r>
      <w:r>
        <w:t>: registros insertados por la migración en la base de pruebas.</w:t>
      </w:r>
    </w:p>
    <w:p>
      <w:pPr>
        <w:pStyle w:val="ListBullet"/>
      </w:pPr>
      <w:r>
        <w:rPr>
          <w:b/>
        </w:rPr>
        <w:t>Última ejecución</w:t>
      </w:r>
      <w:r>
        <w:t>: fecha del último traslado y batch AP configurado.</w:t>
      </w:r>
    </w:p>
    <w:p>
      <w:r>
        <w:t>Gráficos: AP por estado, AP por GATipo (totales y completados), MS_Archivo por estado.</w:t>
      </w:r>
    </w:p>
    <w:p>
      <w:pPr>
        <w:pStyle w:val="Heading3"/>
      </w:pPr>
      <w:r>
        <w:t>2. Archivos</w:t>
      </w:r>
    </w:p>
    <w:p>
      <w:r>
        <w:t>Lista paginada de archivos con su estado de migración.</w:t>
      </w:r>
    </w:p>
    <w:p>
      <w:r>
        <w:rPr>
          <w:b/>
        </w:rPr>
        <w:t>Filtros:</w:t>
      </w:r>
    </w:p>
    <w:p>
      <w:pPr>
        <w:pStyle w:val="ListBullet"/>
      </w:pPr>
      <w:r>
        <w:rPr>
          <w:b/>
        </w:rPr>
        <w:t>Tabla</w:t>
      </w:r>
      <w:r>
        <w:t xml:space="preserve">: </w:t>
      </w:r>
      <w:r>
        <w:rPr>
          <w:rFonts w:ascii="Consolas" w:hAnsi="Consolas"/>
          <w:color w:val="C7254E"/>
          <w:sz w:val="19"/>
        </w:rPr>
        <w:t>AP_DocumentoArchivo</w:t>
      </w:r>
      <w:r>
        <w:t xml:space="preserve"> (archivos de facturas) o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(adjuntos del portal).</w:t>
      </w:r>
    </w:p>
    <w:p>
      <w:pPr>
        <w:pStyle w:val="ListBullet"/>
      </w:pPr>
      <w:r>
        <w:rPr>
          <w:b/>
        </w:rPr>
        <w:t>Estado</w:t>
      </w:r>
      <w:r>
        <w:t>: PENDIENTE / COMPLETADO / ERROR.</w:t>
      </w:r>
    </w:p>
    <w:p>
      <w:pPr>
        <w:pStyle w:val="ListBullet"/>
      </w:pPr>
      <w:r>
        <w:rPr>
          <w:b/>
        </w:rPr>
        <w:t>GATipo</w:t>
      </w:r>
      <w:r>
        <w:t xml:space="preserve"> (solo AP): XML, CDR, FAC, DIM, OTR.</w:t>
      </w:r>
    </w:p>
    <w:p>
      <w:pPr>
        <w:pStyle w:val="ListBullet"/>
      </w:pPr>
      <w:r>
        <w:rPr>
          <w:b/>
        </w:rPr>
        <w:t>OC/OS</w:t>
      </w:r>
      <w:r>
        <w:t xml:space="preserve"> (solo AP): muestra solo archivos cuya factura está relacionada a una Orden de Compra (OC) u Orden de Servicio (OS).</w:t>
      </w:r>
    </w:p>
    <w:p>
      <w:r>
        <w:rPr>
          <w:b/>
        </w:rPr>
        <w:t>Columnas (AP):</w:t>
      </w:r>
      <w:r>
        <w:t xml:space="preserve"> Id, GATipo, Nombre, Obligación (n° de factura), </w:t>
      </w:r>
      <w:r>
        <w:rPr>
          <w:b/>
        </w:rPr>
        <w:t>OC/OS</w:t>
      </w:r>
      <w:r>
        <w:t xml:space="preserve"> (orden relacionada, ej. </w:t>
      </w:r>
      <w:r>
        <w:rPr>
          <w:rFonts w:ascii="Consolas" w:hAnsi="Consolas"/>
          <w:color w:val="C7254E"/>
          <w:sz w:val="19"/>
        </w:rPr>
        <w:t>SO 6-00001624</w:t>
      </w:r>
      <w:r>
        <w:t xml:space="preserve"> o </w:t>
      </w:r>
      <w:r>
        <w:rPr>
          <w:rFonts w:ascii="Consolas" w:hAnsi="Consolas"/>
          <w:color w:val="C7254E"/>
          <w:sz w:val="19"/>
        </w:rPr>
        <w:t>OC 0000001710</w:t>
      </w:r>
      <w:r>
        <w:t xml:space="preserve"> — puede haber varias), Estado, Intentos, Traslado, ArchivoId (id en </w:t>
      </w:r>
      <w:r>
        <w:rPr>
          <w:rFonts w:ascii="Consolas" w:hAnsi="Consolas"/>
          <w:color w:val="C7254E"/>
          <w:sz w:val="19"/>
        </w:rPr>
        <w:t>GD_Archivo</w:t>
      </w:r>
      <w:r>
        <w:t>), Error, acciones.</w:t>
      </w:r>
    </w:p>
    <w:p>
      <w:r>
        <w:rPr>
          <w:b/>
        </w:rPr>
        <w:t>Acciones por fila:</w:t>
      </w:r>
    </w:p>
    <w:p>
      <w:pPr>
        <w:pStyle w:val="ListBullet"/>
      </w:pPr>
      <w:r>
        <w:rPr>
          <w:b/>
        </w:rPr>
        <w:t>Ver</w:t>
      </w:r>
      <w:r>
        <w:t>: vista previa del archivo (PDF/XML/imagen) sin descargarlo.</w:t>
      </w:r>
    </w:p>
    <w:p>
      <w:pPr>
        <w:pStyle w:val="ListBullet"/>
      </w:pPr>
      <w:r>
        <w:rPr>
          <w:b/>
        </w:rPr>
        <w:t>Ver error</w:t>
      </w:r>
      <w:r>
        <w:t>: detalle del error y la etapa donde falló (para filas en ERROR).</w:t>
      </w:r>
    </w:p>
    <w:p>
      <w:pPr>
        <w:pStyle w:val="Heading3"/>
      </w:pPr>
      <w:r>
        <w:t>3. Configuración</w:t>
      </w:r>
    </w:p>
    <w:p>
      <w:pPr>
        <w:pStyle w:val="ListBullet"/>
      </w:pPr>
      <w:r>
        <w:rPr>
          <w:b/>
        </w:rPr>
        <w:t>Entorno</w:t>
      </w:r>
      <w:r>
        <w:t>: selector de entorno activo (PRUEBA / PRODUCCION). PRODUCCION aparece bloqueado hasta que se habilite explícitamente en la base (</w:t>
      </w:r>
      <w:r>
        <w:rPr>
          <w:rFonts w:ascii="Consolas" w:hAnsi="Consolas"/>
          <w:color w:val="C7254E"/>
          <w:sz w:val="19"/>
        </w:rPr>
        <w:t>Entornos_Migracion.ProduccionHabilitado</w:t>
      </w:r>
      <w:r>
        <w:t>). Cada cambio queda auditado.</w:t>
      </w:r>
    </w:p>
    <w:p>
      <w:pPr>
        <w:pStyle w:val="ListBullet"/>
      </w:pPr>
      <w:r>
        <w:rPr>
          <w:b/>
        </w:rPr>
        <w:t>Parámetros</w:t>
      </w:r>
      <w:r>
        <w:t xml:space="preserve">: edita los valores del entorno activo (servidores, bases, lotes </w:t>
      </w:r>
      <w:r>
        <w:rPr>
          <w:rFonts w:ascii="Consolas" w:hAnsi="Consolas"/>
          <w:color w:val="C7254E"/>
          <w:sz w:val="19"/>
        </w:rPr>
        <w:t>BATCH_PRUEBA</w:t>
      </w:r>
      <w:r>
        <w:t>/</w:t>
      </w:r>
      <w:r>
        <w:rPr>
          <w:rFonts w:ascii="Consolas" w:hAnsi="Consolas"/>
          <w:color w:val="C7254E"/>
          <w:sz w:val="19"/>
        </w:rPr>
        <w:t>BATCH_AP_DOCUMENTO_PRUEBA</w:t>
      </w:r>
      <w:r>
        <w:t xml:space="preserve">, tipo de copia, modo de prueba, etc.). </w:t>
      </w:r>
      <w:r>
        <w:rPr>
          <w:b/>
        </w:rPr>
        <w:t>Guardar configuración</w:t>
      </w:r>
      <w:r>
        <w:t xml:space="preserve"> valida y regenera </w:t>
      </w:r>
      <w:r>
        <w:rPr>
          <w:rFonts w:ascii="Consolas" w:hAnsi="Consolas"/>
          <w:color w:val="C7254E"/>
          <w:sz w:val="19"/>
        </w:rPr>
        <w:t>config_modo.bat</w:t>
      </w:r>
      <w:r>
        <w:t>/</w:t>
      </w:r>
      <w:r>
        <w:rPr>
          <w:rFonts w:ascii="Consolas" w:hAnsi="Consolas"/>
          <w:color w:val="C7254E"/>
          <w:sz w:val="19"/>
        </w:rPr>
        <w:t>config.env</w:t>
      </w:r>
      <w:r>
        <w:t>.</w:t>
      </w:r>
    </w:p>
    <w:p>
      <w:r>
        <w:t xml:space="preserve">Validaciones automáticas: en PRUEBA exige </w:t>
      </w:r>
      <w:r>
        <w:rPr>
          <w:rFonts w:ascii="Consolas" w:hAnsi="Consolas"/>
          <w:color w:val="C7254E"/>
          <w:sz w:val="19"/>
        </w:rPr>
        <w:t>BD_SPRING=HASS_SPRING_PRUEBA</w:t>
      </w:r>
      <w:r>
        <w:t xml:space="preserve"> y la raíz </w:t>
      </w:r>
      <w:r>
        <w:rPr>
          <w:rFonts w:ascii="Consolas" w:hAnsi="Consolas"/>
          <w:color w:val="C7254E"/>
          <w:sz w:val="19"/>
        </w:rPr>
        <w:t>...\PRUEBAS</w:t>
      </w:r>
      <w:r>
        <w:t xml:space="preserve">; en PRODUCCION exige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 y </w:t>
      </w:r>
      <w:r>
        <w:rPr>
          <w:rFonts w:ascii="Consolas" w:hAnsi="Consolas"/>
          <w:color w:val="C7254E"/>
          <w:sz w:val="19"/>
        </w:rPr>
        <w:t>...\PROD</w:t>
      </w:r>
      <w:r>
        <w:t>.</w:t>
      </w:r>
    </w:p>
    <w:p>
      <w:pPr>
        <w:pStyle w:val="Heading3"/>
      </w:pPr>
      <w:r>
        <w:t>4. Ejecución</w:t>
      </w:r>
    </w:p>
    <w:p>
      <w:pPr>
        <w:pStyle w:val="ListBullet"/>
      </w:pPr>
      <w:r>
        <w:rPr>
          <w:b/>
        </w:rPr>
        <w:t>Ejecutar ahora</w:t>
      </w:r>
      <w:r>
        <w:t>: corre una migración con los lotes configurados.</w:t>
      </w:r>
    </w:p>
    <w:p>
      <w:pPr>
        <w:pStyle w:val="ListBullet"/>
      </w:pPr>
      <w:r>
        <w:rPr>
          <w:b/>
        </w:rPr>
        <w:t>Procesar todo lo faltante</w:t>
      </w:r>
      <w:r>
        <w:t>: ajusta los lotes al total de pendientes y corre una sola vez (puede tardar bastante).</w:t>
      </w:r>
    </w:p>
    <w:p>
      <w:pPr>
        <w:pStyle w:val="ListBullet"/>
      </w:pPr>
      <w:r>
        <w:t>El panel negro muestra la salida en vivo; arriba se indica inicio, fin y duración.</w:t>
      </w:r>
    </w:p>
    <w:p>
      <w:pPr>
        <w:pStyle w:val="Heading3"/>
      </w:pPr>
      <w:r>
        <w:t>5. Ejecución personalizada</w:t>
      </w:r>
    </w:p>
    <w:p>
      <w:r>
        <w:t xml:space="preserve">Procesa </w:t>
      </w:r>
      <w:r>
        <w:rPr>
          <w:b/>
        </w:rPr>
        <w:t>solo</w:t>
      </w:r>
      <w:r>
        <w:t xml:space="preserve"> los archivos pendientes relacionados a una orden:</w:t>
      </w:r>
    </w:p>
    <w:p>
      <w:pPr>
        <w:pStyle w:val="ListBullet"/>
      </w:pPr>
      <w:r>
        <w:rPr>
          <w:b/>
        </w:rPr>
        <w:t>N° de orden</w:t>
      </w:r>
      <w:r>
        <w:t xml:space="preserve">: número de OC (ej. </w:t>
      </w:r>
      <w:r>
        <w:rPr>
          <w:rFonts w:ascii="Consolas" w:hAnsi="Consolas"/>
          <w:color w:val="C7254E"/>
          <w:sz w:val="19"/>
        </w:rPr>
        <w:t>0000001710</w:t>
      </w:r>
      <w:r>
        <w:t xml:space="preserve">) u OS (ej. </w:t>
      </w:r>
      <w:r>
        <w:rPr>
          <w:rFonts w:ascii="Consolas" w:hAnsi="Consolas"/>
          <w:color w:val="C7254E"/>
          <w:sz w:val="19"/>
        </w:rPr>
        <w:t>6-00001624</w:t>
      </w:r>
      <w:r>
        <w:t>).</w:t>
      </w:r>
    </w:p>
    <w:p>
      <w:pPr>
        <w:pStyle w:val="ListBullet"/>
      </w:pPr>
      <w:r>
        <w:rPr>
          <w:b/>
        </w:rPr>
        <w:t>Tipo</w:t>
      </w:r>
      <w:r>
        <w:t xml:space="preserve">: </w:t>
      </w:r>
      <w:r>
        <w:rPr>
          <w:rFonts w:ascii="Consolas" w:hAnsi="Consolas"/>
          <w:color w:val="C7254E"/>
          <w:sz w:val="19"/>
        </w:rPr>
        <w:t>Auto</w:t>
      </w:r>
      <w:r>
        <w:t xml:space="preserve"> (busca en OC y OS), </w:t>
      </w:r>
      <w:r>
        <w:rPr>
          <w:rFonts w:ascii="Consolas" w:hAnsi="Consolas"/>
          <w:color w:val="C7254E"/>
          <w:sz w:val="19"/>
        </w:rPr>
        <w:t>OC</w:t>
      </w:r>
      <w:r>
        <w:t xml:space="preserve"> u </w:t>
      </w:r>
      <w:r>
        <w:rPr>
          <w:rFonts w:ascii="Consolas" w:hAnsi="Consolas"/>
          <w:color w:val="C7254E"/>
          <w:sz w:val="19"/>
        </w:rPr>
        <w:t>OS</w:t>
      </w:r>
      <w:r>
        <w:t>.</w:t>
      </w:r>
    </w:p>
    <w:p>
      <w:pPr>
        <w:pStyle w:val="ListBullet"/>
      </w:pPr>
      <w:r>
        <w:rPr>
          <w:b/>
        </w:rPr>
        <w:t>Procesar orden</w:t>
      </w:r>
      <w:r>
        <w:t>: primero informa cuántos archivos AP y adjuntos MS pendientes tiene esa orden y cuántas obligaciones (facturas) la componen; luego lanza la migración filtrada. Si todo ya estaba migrado, avisa que no hay pendientes.</w:t>
      </w:r>
    </w:p>
    <w:p>
      <w:r>
        <w:t>Uso típico: cuando en el portal adjuntan archivos nuevos a una OC/OS ya migrada y se quiere sincronizarla de inmediato sin esperar a la tarea de las 2 horas.</w:t>
      </w:r>
    </w:p>
    <w:p>
      <w:pPr>
        <w:pStyle w:val="Heading3"/>
      </w:pPr>
      <w:r>
        <w:t>6. Log</w:t>
      </w:r>
    </w:p>
    <w:p>
      <w:r>
        <w:t xml:space="preserve">Últimas líneas de </w:t>
      </w:r>
      <w:r>
        <w:rPr>
          <w:rFonts w:ascii="Consolas" w:hAnsi="Consolas"/>
          <w:color w:val="C7254E"/>
          <w:sz w:val="19"/>
        </w:rPr>
        <w:t>migrar_adjuntos_spring_prueba.log</w:t>
      </w:r>
      <w:r>
        <w:t xml:space="preserve"> con botón </w:t>
      </w:r>
      <w:r>
        <w:rPr>
          <w:b/>
        </w:rPr>
        <w:t>Recargar</w:t>
      </w:r>
      <w:r>
        <w:t>.</w:t>
      </w:r>
    </w:p>
    <w:p>
      <w:pPr>
        <w:pStyle w:val="Heading2"/>
      </w:pPr>
      <w:r>
        <w:t>Estados de un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registrado para traslado, aún sin procesar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PROCESANDO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 ejecución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copiado al destino y registrado en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falló; el detalle muestra la etapa y el mensaje. Se reintenta en la siguiente ejecución</w:t>
            </w:r>
          </w:p>
        </w:tc>
      </w:tr>
    </w:tbl>
    <w:p>
      <w:pPr>
        <w:spacing w:after="40"/>
      </w:pPr>
    </w:p>
    <w:p>
      <w:pPr>
        <w:pStyle w:val="Heading2"/>
      </w:pPr>
      <w:r>
        <w:t>Comportamiento frente a archivos ya migrados</w:t>
      </w:r>
    </w:p>
    <w:p>
      <w:pPr>
        <w:pStyle w:val="ListBullet"/>
      </w:pPr>
      <w:r>
        <w:t xml:space="preserve">Los archivos COMPLETADO </w:t>
      </w:r>
      <w:r>
        <w:rPr>
          <w:b/>
        </w:rPr>
        <w:t>no se reprocesan</w:t>
      </w:r>
      <w:r>
        <w:t xml:space="preserve"> nunca.</w:t>
      </w:r>
    </w:p>
    <w:p>
      <w:pPr>
        <w:pStyle w:val="ListBullet"/>
      </w:pPr>
      <w:r>
        <w:t xml:space="preserve">Si el portal adjunta archivos nuevos a una OC/OS ya migrada, aparecen como pendientes y se copian a la </w:t>
      </w:r>
      <w:r>
        <w:rPr>
          <w:b/>
        </w:rPr>
        <w:t>misma carpeta</w:t>
      </w:r>
      <w:r>
        <w:t xml:space="preserve"> de la orden en la siguiente ejecución.</w:t>
      </w:r>
    </w:p>
    <w:p>
      <w:pPr>
        <w:pStyle w:val="ListBullet"/>
      </w:pPr>
      <w:r>
        <w:t xml:space="preserve">Un archivo con el mismo nombre y contenido idéntico se omite; mismo nombre con contenido distinto se guarda con sufijo </w:t>
      </w:r>
      <w:r>
        <w:rPr>
          <w:rFonts w:ascii="Consolas" w:hAnsi="Consolas"/>
          <w:color w:val="C7254E"/>
          <w:sz w:val="19"/>
        </w:rPr>
        <w:t>_001</w:t>
      </w:r>
      <w:r>
        <w:t xml:space="preserve">, </w:t>
      </w:r>
      <w:r>
        <w:rPr>
          <w:rFonts w:ascii="Consolas" w:hAnsi="Consolas"/>
          <w:color w:val="C7254E"/>
          <w:sz w:val="19"/>
        </w:rPr>
        <w:t>_002</w:t>
      </w:r>
      <w:r>
        <w:t>, etc.</w:t>
      </w:r>
    </w:p>
    <w:p>
      <w:pPr>
        <w:pStyle w:val="ListBullet"/>
      </w:pPr>
      <w:r>
        <w:t xml:space="preserve">Los registros insertados en la base de prueba llevan la marca </w:t>
      </w:r>
      <w:r>
        <w:rPr>
          <w:rFonts w:ascii="Consolas" w:hAnsi="Consolas"/>
          <w:color w:val="C7254E"/>
          <w:sz w:val="19"/>
        </w:rPr>
        <w:t>MIGRACION_PRUEBA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