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B63"/>
          <w:sz w:val="52"/>
        </w:rPr>
        <w:t>Manual de usuario — Aplicación web</w:t>
      </w:r>
    </w:p>
    <w:p>
      <w:pPr>
        <w:jc w:val="center"/>
      </w:pPr>
      <w:r>
        <w:rPr>
          <w:color w:val="404040"/>
          <w:sz w:val="30"/>
        </w:rPr>
        <w:t>Guía con capturas de pantalla</w:t>
      </w:r>
    </w:p>
    <w:p/>
    <w:p>
      <w:pPr>
        <w:jc w:val="center"/>
      </w:pPr>
      <w:r>
        <w:rPr>
          <w:b/>
        </w:rPr>
        <w:t xml:space="preserve">Proyecto: </w:t>
      </w:r>
      <w:r>
        <w:t>Migración de documentos a Spring Gestión Documental</w:t>
      </w:r>
    </w:p>
    <w:p>
      <w:pPr>
        <w:jc w:val="center"/>
      </w:pPr>
      <w:r>
        <w:rPr>
          <w:b/>
        </w:rPr>
        <w:t xml:space="preserve">Elaborado por: </w:t>
      </w:r>
      <w:r>
        <w:t>Jonathan Marquina</w:t>
      </w:r>
    </w:p>
    <w:p>
      <w:pPr>
        <w:jc w:val="center"/>
      </w:pPr>
      <w:r>
        <w:rPr>
          <w:b/>
        </w:rPr>
        <w:t xml:space="preserve">Fecha: </w:t>
      </w:r>
      <w:r>
        <w:t>24/09/2026</w:t>
      </w:r>
    </w:p>
    <w:p>
      <w:r>
        <w:br w:type="page"/>
      </w:r>
    </w:p>
    <w:p>
      <w:pPr>
        <w:pStyle w:val="Heading1"/>
      </w:pPr>
      <w:r>
        <w:t>Manual de usuario — Dashboard web de Migración de Adjuntos</w:t>
      </w:r>
    </w:p>
    <w:p>
      <w:r>
        <w:rPr>
          <w:b/>
        </w:rPr>
        <w:t>Aplicación:</w:t>
      </w:r>
      <w:r>
        <w:t xml:space="preserve"> Migración de adjuntos — Portal de proveedores → Spring Gestión Documental</w:t>
      </w:r>
    </w:p>
    <w:p>
      <w:r>
        <w:rPr>
          <w:b/>
        </w:rPr>
        <w:t>Acceso:</w:t>
      </w:r>
      <w:r>
        <w:t xml:space="preserve"> </w:t>
      </w:r>
      <w:r>
        <w:rPr>
          <w:rFonts w:ascii="Consolas" w:hAnsi="Consolas"/>
          <w:color w:val="C7254E"/>
          <w:sz w:val="19"/>
        </w:rPr>
        <w:t>https://apimigraciondoc.agroapps.net:7631/</w:t>
      </w:r>
      <w:r>
        <w:t xml:space="preserve"> (sitio IIS del servidor)</w:t>
      </w:r>
    </w:p>
    <w:p>
      <w:r>
        <w:rPr>
          <w:b/>
        </w:rPr>
        <w:t>Perfil de usuario:</w:t>
      </w:r>
      <w:r>
        <w:t xml:space="preserve"> personal de soporte / sistemas. No requiere login (herramienta interna).</w:t>
      </w:r>
    </w:p>
    <w:p>
      <w:r>
        <w:t xml:space="preserve">La aplicación permite </w:t>
      </w:r>
      <w:r>
        <w:rPr>
          <w:b/>
        </w:rPr>
        <w:t>monitorear</w:t>
      </w:r>
      <w:r>
        <w:t xml:space="preserve"> el avance de la migración, </w:t>
      </w:r>
      <w:r>
        <w:rPr>
          <w:b/>
        </w:rPr>
        <w:t>revisar</w:t>
      </w:r>
      <w:r>
        <w:t xml:space="preserve"> el estado de cada archivo, </w:t>
      </w:r>
      <w:r>
        <w:rPr>
          <w:b/>
        </w:rPr>
        <w:t>ver</w:t>
      </w:r>
      <w:r>
        <w:t xml:space="preserve"> los documentos sin descargarlos, </w:t>
      </w:r>
      <w:r>
        <w:rPr>
          <w:b/>
        </w:rPr>
        <w:t>ejecutar</w:t>
      </w:r>
      <w:r>
        <w:t xml:space="preserve"> migraciones manuales y </w:t>
      </w:r>
      <w:r>
        <w:rPr>
          <w:b/>
        </w:rPr>
        <w:t>configurar</w:t>
      </w:r>
      <w:r>
        <w:t xml:space="preserve"> el servicio.</w:t>
      </w:r>
    </w:p>
    <w:p>
      <w:pPr>
        <w:pStyle w:val="Heading2"/>
      </w:pPr>
      <w:r>
        <w:t>1. Pantalla principal — Dashboard</w:t>
      </w:r>
    </w:p>
    <w:p>
      <w:pPr>
        <w:jc w:val="center"/>
      </w:pPr>
      <w:r>
        <w:drawing>
          <wp:inline xmlns:a="http://schemas.openxmlformats.org/drawingml/2006/main" xmlns:pic="http://schemas.openxmlformats.org/drawingml/2006/picture">
            <wp:extent cx="5760720" cy="6609264"/>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760720" cy="6609264"/>
                    </a:xfrm>
                    <a:prstGeom prst="rect"/>
                  </pic:spPr>
                </pic:pic>
              </a:graphicData>
            </a:graphic>
          </wp:inline>
        </w:drawing>
      </w:r>
    </w:p>
    <w:p>
      <w:pPr>
        <w:jc w:val="center"/>
      </w:pPr>
      <w:r>
        <w:rPr>
          <w:i/>
          <w:color w:val="595959"/>
          <w:sz w:val="18"/>
        </w:rPr>
        <w:t>Figura: Dashboard</w:t>
      </w:r>
    </w:p>
    <w:p>
      <w:r>
        <w:t>Al ingresar se muestran seis tarjetas de resumen y cuatro gráficos: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sz w:val="18"/>
              </w:rPr>
              <w:t>Tarjeta</w:t>
            </w:r>
          </w:p>
        </w:tc>
        <w:tc>
          <w:tcPr>
            <w:tcW w:type="dxa" w:w="4320"/>
            <w:shd w:val="clear" w:fill="D9E2F3"/>
          </w:tcPr>
          <w:p>
            <w:r/>
            <w:r>
              <w:rPr>
                <w:b/>
                <w:sz w:val="18"/>
              </w:rPr>
              <w:t>Significado</w:t>
            </w:r>
          </w:p>
        </w:tc>
      </w:tr>
      <w:tr>
        <w:tc>
          <w:tcPr>
            <w:tcW w:type="dxa" w:w="4320"/>
          </w:tcPr>
          <w:p>
            <w:r>
              <w:rPr>
                <w:sz w:val="18"/>
              </w:rPr>
            </w:r>
            <w:r>
              <w:rPr>
                <w:b/>
                <w:sz w:val="18"/>
              </w:rPr>
              <w:t>AP total</w:t>
            </w:r>
          </w:p>
        </w:tc>
        <w:tc>
          <w:tcPr>
            <w:tcW w:type="dxa" w:w="4320"/>
          </w:tcPr>
          <w:p>
            <w:r>
              <w:rPr>
                <w:sz w:val="18"/>
              </w:rPr>
            </w:r>
            <w:r>
              <w:rPr>
                <w:sz w:val="18"/>
              </w:rPr>
              <w:t xml:space="preserve">Archivos registrados en </w:t>
            </w:r>
            <w:r>
              <w:rPr>
                <w:rFonts w:ascii="Consolas" w:hAnsi="Consolas"/>
                <w:color w:val="C7254E"/>
                <w:sz w:val="19"/>
              </w:rPr>
              <w:t>MS_AP_DocumentoArchivo</w:t>
            </w:r>
            <w:r>
              <w:rPr>
                <w:sz w:val="18"/>
              </w:rPr>
              <w:t xml:space="preserve"> (documentos de facturas del portal)</w:t>
            </w:r>
          </w:p>
        </w:tc>
      </w:tr>
      <w:tr>
        <w:tc>
          <w:tcPr>
            <w:tcW w:type="dxa" w:w="4320"/>
          </w:tcPr>
          <w:p>
            <w:r>
              <w:rPr>
                <w:sz w:val="18"/>
              </w:rPr>
            </w:r>
            <w:r>
              <w:rPr>
                <w:b/>
                <w:sz w:val="18"/>
              </w:rPr>
              <w:t>AP pendientes</w:t>
            </w:r>
          </w:p>
        </w:tc>
        <w:tc>
          <w:tcPr>
            <w:tcW w:type="dxa" w:w="4320"/>
          </w:tcPr>
          <w:p>
            <w:r>
              <w:rPr>
                <w:sz w:val="18"/>
              </w:rPr>
            </w:r>
            <w:r>
              <w:rPr>
                <w:sz w:val="18"/>
              </w:rPr>
              <w:t>Archivos con datos que aún no completan su traslado</w:t>
            </w:r>
          </w:p>
        </w:tc>
      </w:tr>
      <w:tr>
        <w:tc>
          <w:tcPr>
            <w:tcW w:type="dxa" w:w="4320"/>
          </w:tcPr>
          <w:p>
            <w:r>
              <w:rPr>
                <w:sz w:val="18"/>
              </w:rPr>
            </w:r>
            <w:r>
              <w:rPr>
                <w:b/>
                <w:sz w:val="18"/>
              </w:rPr>
              <w:t>AP completados</w:t>
            </w:r>
          </w:p>
        </w:tc>
        <w:tc>
          <w:tcPr>
            <w:tcW w:type="dxa" w:w="4320"/>
          </w:tcPr>
          <w:p>
            <w:r>
              <w:rPr>
                <w:sz w:val="18"/>
              </w:rPr>
            </w:r>
            <w:r>
              <w:rPr>
                <w:sz w:val="18"/>
              </w:rPr>
              <w:t>Archivos ya migrados a Spring</w:t>
            </w:r>
          </w:p>
        </w:tc>
      </w:tr>
      <w:tr>
        <w:tc>
          <w:tcPr>
            <w:tcW w:type="dxa" w:w="4320"/>
          </w:tcPr>
          <w:p>
            <w:r>
              <w:rPr>
                <w:sz w:val="18"/>
              </w:rPr>
            </w:r>
            <w:r>
              <w:rPr>
                <w:b/>
                <w:sz w:val="18"/>
              </w:rPr>
              <w:t>MS pendientes</w:t>
            </w:r>
          </w:p>
        </w:tc>
        <w:tc>
          <w:tcPr>
            <w:tcW w:type="dxa" w:w="4320"/>
          </w:tcPr>
          <w:p>
            <w:r>
              <w:rPr>
                <w:sz w:val="18"/>
              </w:rPr>
            </w:r>
            <w:r>
              <w:rPr>
                <w:sz w:val="18"/>
              </w:rPr>
              <w:t xml:space="preserve">Adjuntos de </w:t>
            </w:r>
            <w:r>
              <w:rPr>
                <w:rFonts w:ascii="Consolas" w:hAnsi="Consolas"/>
                <w:color w:val="C7254E"/>
                <w:sz w:val="19"/>
              </w:rPr>
              <w:t>MS_Archivo</w:t>
            </w:r>
            <w:r>
              <w:rPr>
                <w:sz w:val="18"/>
              </w:rPr>
              <w:t xml:space="preserve"> pendientes de migrar</w:t>
            </w:r>
          </w:p>
        </w:tc>
      </w:tr>
      <w:tr>
        <w:tc>
          <w:tcPr>
            <w:tcW w:type="dxa" w:w="4320"/>
          </w:tcPr>
          <w:p>
            <w:r>
              <w:rPr>
                <w:sz w:val="18"/>
              </w:rPr>
            </w:r>
            <w:r>
              <w:rPr>
                <w:b/>
                <w:sz w:val="18"/>
              </w:rPr>
              <w:t>GD_Archivo (prueba)</w:t>
            </w:r>
          </w:p>
        </w:tc>
        <w:tc>
          <w:tcPr>
            <w:tcW w:type="dxa" w:w="4320"/>
          </w:tcPr>
          <w:p>
            <w:r>
              <w:rPr>
                <w:sz w:val="18"/>
              </w:rPr>
            </w:r>
            <w:r>
              <w:rPr>
                <w:sz w:val="18"/>
              </w:rPr>
              <w:t>Registros creados por la migración en la base de pruebas de Spring</w:t>
            </w:r>
          </w:p>
        </w:tc>
      </w:tr>
      <w:tr>
        <w:tc>
          <w:tcPr>
            <w:tcW w:type="dxa" w:w="4320"/>
          </w:tcPr>
          <w:p>
            <w:r>
              <w:rPr>
                <w:sz w:val="18"/>
              </w:rPr>
            </w:r>
            <w:r>
              <w:rPr>
                <w:b/>
                <w:sz w:val="18"/>
              </w:rPr>
              <w:t>Última ejecución</w:t>
            </w:r>
          </w:p>
        </w:tc>
        <w:tc>
          <w:tcPr>
            <w:tcW w:type="dxa" w:w="4320"/>
          </w:tcPr>
          <w:p>
            <w:r>
              <w:rPr>
                <w:sz w:val="18"/>
              </w:rPr>
            </w:r>
            <w:r>
              <w:rPr>
                <w:sz w:val="18"/>
              </w:rPr>
              <w:t>Fecha/hora del último traslado y tamaño del lote AP configurado</w:t>
            </w:r>
          </w:p>
        </w:tc>
      </w:tr>
    </w:tbl>
    <w:p>
      <w:pPr>
        <w:spacing w:after="40"/>
      </w:pPr>
    </w:p>
    <w:p>
      <w:r>
        <w:rPr>
          <w:b/>
        </w:rPr>
        <w:t>Gráficos:</w:t>
      </w:r>
    </w:p>
    <w:p>
      <w:pPr>
        <w:pStyle w:val="ListBullet"/>
      </w:pPr>
      <w:r>
        <w:rPr>
          <w:b/>
        </w:rPr>
        <w:t>AP por estado</w:t>
      </w:r>
      <w:r>
        <w:t xml:space="preserve"> (dona): distribución COMPLETADO / ERROR / PENDIENTE.</w:t>
      </w:r>
    </w:p>
    <w:p>
      <w:pPr>
        <w:pStyle w:val="ListBullet"/>
      </w:pPr>
      <w:r>
        <w:rPr>
          <w:b/>
        </w:rPr>
        <w:t>AP por GATipo (total)</w:t>
      </w:r>
      <w:r>
        <w:t>: cantidad de archivos por tipo documental (XML, CDR, FAC, DIM, OTR).</w:t>
      </w:r>
    </w:p>
    <w:p>
      <w:pPr>
        <w:pStyle w:val="ListBullet"/>
      </w:pPr>
      <w:r>
        <w:rPr>
          <w:b/>
        </w:rPr>
        <w:t>MS_Archivo por estado</w:t>
      </w:r>
      <w:r>
        <w:t xml:space="preserve"> (dona): estado de los adjuntos del portal.</w:t>
      </w:r>
    </w:p>
    <w:p>
      <w:pPr>
        <w:pStyle w:val="ListBullet"/>
      </w:pPr>
      <w:r>
        <w:rPr>
          <w:b/>
        </w:rPr>
        <w:t>AP por GATipo (completados)</w:t>
      </w:r>
      <w:r>
        <w:t>: cuántos archivos de cada tipo ya migraron.</w:t>
      </w:r>
    </w:p>
    <w:p>
      <w:pPr>
        <w:pStyle w:val="Heading2"/>
      </w:pPr>
      <w:r>
        <w:t>2. Archivos</w:t>
      </w:r>
    </w:p>
    <w:p>
      <w:pPr>
        <w:jc w:val="center"/>
      </w:pPr>
      <w:r>
        <w:drawing>
          <wp:inline xmlns:a="http://schemas.openxmlformats.org/drawingml/2006/main" xmlns:pic="http://schemas.openxmlformats.org/drawingml/2006/picture">
            <wp:extent cx="5760720" cy="7236078"/>
            <wp:docPr id="2" name="Picture 2"/>
            <wp:cNvGraphicFramePr>
              <a:graphicFrameLocks noChangeAspect="1"/>
            </wp:cNvGraphicFramePr>
            <a:graphic>
              <a:graphicData uri="http://schemas.openxmlformats.org/drawingml/2006/picture">
                <pic:pic>
                  <pic:nvPicPr>
                    <pic:cNvPr id="0" name="02_archivos.png"/>
                    <pic:cNvPicPr/>
                  </pic:nvPicPr>
                  <pic:blipFill>
                    <a:blip r:embed="rId10"/>
                    <a:stretch>
                      <a:fillRect/>
                    </a:stretch>
                  </pic:blipFill>
                  <pic:spPr>
                    <a:xfrm>
                      <a:off x="0" y="0"/>
                      <a:ext cx="5760720" cy="7236078"/>
                    </a:xfrm>
                    <a:prstGeom prst="rect"/>
                  </pic:spPr>
                </pic:pic>
              </a:graphicData>
            </a:graphic>
          </wp:inline>
        </w:drawing>
      </w:r>
    </w:p>
    <w:p>
      <w:pPr>
        <w:jc w:val="center"/>
      </w:pPr>
      <w:r>
        <w:rPr>
          <w:i/>
          <w:color w:val="595959"/>
          <w:sz w:val="18"/>
        </w:rPr>
        <w:t>Figura: Archivos</w:t>
      </w:r>
    </w:p>
    <w:p>
      <w:r>
        <w:t>Lista paginada de todos los archivos con su estado de migración.</w:t>
      </w:r>
    </w:p>
    <w:p>
      <w:pPr>
        <w:pStyle w:val="Heading3"/>
      </w:pPr>
      <w:r>
        <w:t>Filtros (parte superior)</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sz w:val="18"/>
              </w:rPr>
              <w:t>Filtro</w:t>
            </w:r>
          </w:p>
        </w:tc>
        <w:tc>
          <w:tcPr>
            <w:tcW w:type="dxa" w:w="4320"/>
            <w:shd w:val="clear" w:fill="D9E2F3"/>
          </w:tcPr>
          <w:p>
            <w:r/>
            <w:r>
              <w:rPr>
                <w:b/>
                <w:sz w:val="18"/>
              </w:rPr>
              <w:t>Opciones</w:t>
            </w:r>
          </w:p>
        </w:tc>
      </w:tr>
      <w:tr>
        <w:tc>
          <w:tcPr>
            <w:tcW w:type="dxa" w:w="4320"/>
          </w:tcPr>
          <w:p>
            <w:r>
              <w:rPr>
                <w:sz w:val="18"/>
              </w:rPr>
            </w:r>
            <w:r>
              <w:rPr>
                <w:b/>
                <w:sz w:val="18"/>
              </w:rPr>
              <w:t>Tabla</w:t>
            </w:r>
          </w:p>
        </w:tc>
        <w:tc>
          <w:tcPr>
            <w:tcW w:type="dxa" w:w="4320"/>
          </w:tcPr>
          <w:p>
            <w:r>
              <w:rPr>
                <w:sz w:val="18"/>
              </w:rPr>
            </w:r>
            <w:r>
              <w:rPr>
                <w:rFonts w:ascii="Consolas" w:hAnsi="Consolas"/>
                <w:color w:val="C7254E"/>
                <w:sz w:val="19"/>
              </w:rPr>
              <w:t>AP_DocumentoArchivo</w:t>
            </w:r>
            <w:r>
              <w:rPr>
                <w:sz w:val="18"/>
              </w:rPr>
              <w:t xml:space="preserve"> (documentos de facturas) · </w:t>
            </w:r>
            <w:r>
              <w:rPr>
                <w:rFonts w:ascii="Consolas" w:hAnsi="Consolas"/>
                <w:color w:val="C7254E"/>
                <w:sz w:val="19"/>
              </w:rPr>
              <w:t>MS_Archivo</w:t>
            </w:r>
            <w:r>
              <w:rPr>
                <w:sz w:val="18"/>
              </w:rPr>
              <w:t xml:space="preserve"> (adjuntos del portal)</w:t>
            </w:r>
          </w:p>
        </w:tc>
      </w:tr>
      <w:tr>
        <w:tc>
          <w:tcPr>
            <w:tcW w:type="dxa" w:w="4320"/>
          </w:tcPr>
          <w:p>
            <w:r>
              <w:rPr>
                <w:sz w:val="18"/>
              </w:rPr>
            </w:r>
            <w:r>
              <w:rPr>
                <w:b/>
                <w:sz w:val="18"/>
              </w:rPr>
              <w:t>Estado</w:t>
            </w:r>
          </w:p>
        </w:tc>
        <w:tc>
          <w:tcPr>
            <w:tcW w:type="dxa" w:w="4320"/>
          </w:tcPr>
          <w:p>
            <w:r>
              <w:rPr>
                <w:sz w:val="18"/>
              </w:rPr>
            </w:r>
            <w:r>
              <w:rPr>
                <w:sz w:val="18"/>
              </w:rPr>
              <w:t>PENDIENTE · COMPLETADO · ERROR</w:t>
            </w:r>
          </w:p>
        </w:tc>
      </w:tr>
      <w:tr>
        <w:tc>
          <w:tcPr>
            <w:tcW w:type="dxa" w:w="4320"/>
          </w:tcPr>
          <w:p>
            <w:r>
              <w:rPr>
                <w:sz w:val="18"/>
              </w:rPr>
            </w:r>
            <w:r>
              <w:rPr>
                <w:b/>
                <w:sz w:val="18"/>
              </w:rPr>
              <w:t>GATipo</w:t>
            </w:r>
            <w:r>
              <w:rPr>
                <w:sz w:val="18"/>
              </w:rPr>
              <w:t xml:space="preserve"> (solo AP)</w:t>
            </w:r>
          </w:p>
        </w:tc>
        <w:tc>
          <w:tcPr>
            <w:tcW w:type="dxa" w:w="4320"/>
          </w:tcPr>
          <w:p>
            <w:r>
              <w:rPr>
                <w:sz w:val="18"/>
              </w:rPr>
            </w:r>
            <w:r>
              <w:rPr>
                <w:sz w:val="18"/>
              </w:rPr>
              <w:t>XML · CDR · FAC · DIM · OTR</w:t>
            </w:r>
          </w:p>
        </w:tc>
      </w:tr>
      <w:tr>
        <w:tc>
          <w:tcPr>
            <w:tcW w:type="dxa" w:w="4320"/>
          </w:tcPr>
          <w:p>
            <w:r>
              <w:rPr>
                <w:sz w:val="18"/>
              </w:rPr>
            </w:r>
            <w:r>
              <w:rPr>
                <w:b/>
                <w:sz w:val="18"/>
              </w:rPr>
              <w:t>OC/OS</w:t>
            </w:r>
            <w:r>
              <w:rPr>
                <w:sz w:val="18"/>
              </w:rPr>
              <w:t xml:space="preserve"> (solo AP)</w:t>
            </w:r>
          </w:p>
        </w:tc>
        <w:tc>
          <w:tcPr>
            <w:tcW w:type="dxa" w:w="4320"/>
          </w:tcPr>
          <w:p>
            <w:r>
              <w:rPr>
                <w:sz w:val="18"/>
              </w:rPr>
            </w:r>
            <w:r>
              <w:rPr>
                <w:sz w:val="18"/>
              </w:rPr>
              <w:t>OC (orden de compra) · OS (orden de servicio)</w:t>
            </w:r>
          </w:p>
        </w:tc>
      </w:tr>
    </w:tbl>
    <w:p>
      <w:pPr>
        <w:spacing w:after="40"/>
      </w:pPr>
    </w:p>
    <w:p>
      <w:r>
        <w:t xml:space="preserve">Pulse </w:t>
      </w:r>
      <w:r>
        <w:rPr>
          <w:b/>
        </w:rPr>
        <w:t>Buscar</w:t>
      </w:r>
      <w:r>
        <w:t xml:space="preserve"> para aplicar los filtros.</w:t>
      </w:r>
    </w:p>
    <w:p>
      <w:pPr>
        <w:pStyle w:val="Heading3"/>
      </w:pPr>
      <w:r>
        <w:t>Columnas</w:t>
      </w:r>
    </w:p>
    <w:p>
      <w:pPr>
        <w:pStyle w:val="ListBullet"/>
      </w:pPr>
      <w:r>
        <w:rPr>
          <w:b/>
        </w:rPr>
        <w:t>Id</w:t>
      </w:r>
      <w:r>
        <w:t>: identificador del archivo.</w:t>
      </w:r>
    </w:p>
    <w:p>
      <w:pPr>
        <w:pStyle w:val="ListBullet"/>
      </w:pPr>
      <w:r>
        <w:rPr>
          <w:b/>
        </w:rPr>
        <w:t>GATipo</w:t>
      </w:r>
      <w:r>
        <w:t>: tipo documental (factura XML, CDR, FAC = PDF de factura, DIM = documento de identidad/adjunto, OTR = otros).</w:t>
      </w:r>
    </w:p>
    <w:p>
      <w:pPr>
        <w:pStyle w:val="ListBullet"/>
      </w:pPr>
      <w:r>
        <w:rPr>
          <w:b/>
        </w:rPr>
        <w:t>Nombre</w:t>
      </w:r>
      <w:r>
        <w:t>: nombre físico del archivo.</w:t>
      </w:r>
    </w:p>
    <w:p>
      <w:pPr>
        <w:pStyle w:val="ListBullet"/>
      </w:pPr>
      <w:r>
        <w:rPr>
          <w:b/>
        </w:rPr>
        <w:t>Obligación</w:t>
      </w:r>
      <w:r>
        <w:t xml:space="preserve">: número de factura/documento del proveedor (ej. </w:t>
      </w:r>
      <w:r>
        <w:rPr>
          <w:rFonts w:ascii="Consolas" w:hAnsi="Consolas"/>
          <w:color w:val="C7254E"/>
          <w:sz w:val="19"/>
        </w:rPr>
        <w:t>F001-0006357</w:t>
      </w:r>
      <w:r>
        <w:t>).</w:t>
      </w:r>
    </w:p>
    <w:p>
      <w:pPr>
        <w:pStyle w:val="ListBullet"/>
      </w:pPr>
      <w:r>
        <w:rPr>
          <w:b/>
        </w:rPr>
        <w:t>OC/OS</w:t>
      </w:r>
      <w:r>
        <w:t xml:space="preserve">: orden de compra o servicio relacionada (ej. </w:t>
      </w:r>
      <w:r>
        <w:rPr>
          <w:rFonts w:ascii="Consolas" w:hAnsi="Consolas"/>
          <w:color w:val="C7254E"/>
          <w:sz w:val="19"/>
        </w:rPr>
        <w:t>OC 0000001710</w:t>
      </w:r>
      <w:r>
        <w:t xml:space="preserve">, </w:t>
      </w:r>
      <w:r>
        <w:rPr>
          <w:rFonts w:ascii="Consolas" w:hAnsi="Consolas"/>
          <w:color w:val="C7254E"/>
          <w:sz w:val="19"/>
        </w:rPr>
        <w:t>SO 6-00002062</w:t>
      </w:r>
      <w:r>
        <w:t>). Puede mostrar varias.</w:t>
      </w:r>
    </w:p>
    <w:p>
      <w:pPr>
        <w:pStyle w:val="ListBullet"/>
      </w:pPr>
      <w:r>
        <w:rPr>
          <w:b/>
        </w:rPr>
        <w:t>Estado</w:t>
      </w:r>
      <w:r>
        <w:t>: badge con el estado actual (verde = COMPLETADO, rojo = ERROR, amarillo = PENDIENTE).</w:t>
      </w:r>
    </w:p>
    <w:p>
      <w:pPr>
        <w:pStyle w:val="ListBullet"/>
      </w:pPr>
      <w:r>
        <w:rPr>
          <w:b/>
        </w:rPr>
        <w:t>Intentos</w:t>
      </w:r>
      <w:r>
        <w:t>: cuántas veces se ha intentado migrar.</w:t>
      </w:r>
    </w:p>
    <w:p>
      <w:pPr>
        <w:pStyle w:val="ListBullet"/>
      </w:pPr>
      <w:r>
        <w:rPr>
          <w:b/>
        </w:rPr>
        <w:t>Traslado</w:t>
      </w:r>
      <w:r>
        <w:t>: fecha del traslado completado.</w:t>
      </w:r>
    </w:p>
    <w:p>
      <w:pPr>
        <w:pStyle w:val="ListBullet"/>
      </w:pPr>
      <w:r>
        <w:rPr>
          <w:b/>
        </w:rPr>
        <w:t>ArchivoId</w:t>
      </w:r>
      <w:r>
        <w:t xml:space="preserve">: identificador asignado en </w:t>
      </w:r>
      <w:r>
        <w:rPr>
          <w:rFonts w:ascii="Consolas" w:hAnsi="Consolas"/>
          <w:color w:val="C7254E"/>
          <w:sz w:val="19"/>
        </w:rPr>
        <w:t>GD_Archivo</w:t>
      </w:r>
      <w:r>
        <w:t xml:space="preserve"> de Spring.</w:t>
      </w:r>
    </w:p>
    <w:p>
      <w:pPr>
        <w:pStyle w:val="ListBullet"/>
      </w:pPr>
      <w:r>
        <w:rPr>
          <w:b/>
        </w:rPr>
        <w:t>Error / acciones</w:t>
      </w:r>
      <w:r>
        <w:t xml:space="preserve">: botones </w:t>
      </w:r>
      <w:r>
        <w:rPr>
          <w:b/>
        </w:rPr>
        <w:t>Ver</w:t>
      </w:r>
      <w:r>
        <w:t xml:space="preserve"> y </w:t>
      </w:r>
      <w:r>
        <w:rPr>
          <w:b/>
        </w:rPr>
        <w:t>Ver error</w:t>
      </w:r>
      <w:r>
        <w:t>.</w:t>
      </w:r>
    </w:p>
    <w:p>
      <w:r>
        <w:t>Al pie se muestra el total de registros y el paginador.</w:t>
      </w:r>
    </w:p>
    <w:p>
      <w:pPr>
        <w:pStyle w:val="Heading3"/>
      </w:pPr>
      <w:r>
        <w:t>Vista previa de un documento</w:t>
      </w:r>
    </w:p>
    <w:p>
      <w:pPr>
        <w:jc w:val="center"/>
      </w:pPr>
      <w:r>
        <w:drawing>
          <wp:inline xmlns:a="http://schemas.openxmlformats.org/drawingml/2006/main" xmlns:pic="http://schemas.openxmlformats.org/drawingml/2006/picture">
            <wp:extent cx="5760720" cy="3795496"/>
            <wp:docPr id="3" name="Picture 3"/>
            <wp:cNvGraphicFramePr>
              <a:graphicFrameLocks noChangeAspect="1"/>
            </wp:cNvGraphicFramePr>
            <a:graphic>
              <a:graphicData uri="http://schemas.openxmlformats.org/drawingml/2006/picture">
                <pic:pic>
                  <pic:nvPicPr>
                    <pic:cNvPr id="0" name="03_archivos_preview.png"/>
                    <pic:cNvPicPr/>
                  </pic:nvPicPr>
                  <pic:blipFill>
                    <a:blip r:embed="rId11"/>
                    <a:stretch>
                      <a:fillRect/>
                    </a:stretch>
                  </pic:blipFill>
                  <pic:spPr>
                    <a:xfrm>
                      <a:off x="0" y="0"/>
                      <a:ext cx="5760720" cy="3795496"/>
                    </a:xfrm>
                    <a:prstGeom prst="rect"/>
                  </pic:spPr>
                </pic:pic>
              </a:graphicData>
            </a:graphic>
          </wp:inline>
        </w:drawing>
      </w:r>
    </w:p>
    <w:p>
      <w:pPr>
        <w:jc w:val="center"/>
      </w:pPr>
      <w:r>
        <w:rPr>
          <w:i/>
          <w:color w:val="595959"/>
          <w:sz w:val="18"/>
        </w:rPr>
        <w:t>Figura: Vista previa</w:t>
      </w:r>
    </w:p>
    <w:p>
      <w:r>
        <w:t xml:space="preserve">El botón </w:t>
      </w:r>
      <w:r>
        <w:rPr>
          <w:b/>
        </w:rPr>
        <w:t>Ver</w:t>
      </w:r>
      <w:r>
        <w:t xml:space="preserve"> abre un modal con el documento en línea (PDF, XML, imagen) sin necesidad de descargarlo. Si el archivo ya fue migrado, se muestra la copia ya alojada en el destino de Spring.</w:t>
      </w:r>
    </w:p>
    <w:p>
      <w:pPr>
        <w:pStyle w:val="Heading3"/>
      </w:pPr>
      <w:r>
        <w:t>Detalle de un error</w:t>
      </w:r>
    </w:p>
    <w:p>
      <w:pPr>
        <w:jc w:val="center"/>
      </w:pPr>
      <w:r>
        <w:drawing>
          <wp:inline xmlns:a="http://schemas.openxmlformats.org/drawingml/2006/main" xmlns:pic="http://schemas.openxmlformats.org/drawingml/2006/picture">
            <wp:extent cx="5760720" cy="3795496"/>
            <wp:docPr id="4" name="Picture 4"/>
            <wp:cNvGraphicFramePr>
              <a:graphicFrameLocks noChangeAspect="1"/>
            </wp:cNvGraphicFramePr>
            <a:graphic>
              <a:graphicData uri="http://schemas.openxmlformats.org/drawingml/2006/picture">
                <pic:pic>
                  <pic:nvPicPr>
                    <pic:cNvPr id="0" name="09_modal_error.png"/>
                    <pic:cNvPicPr/>
                  </pic:nvPicPr>
                  <pic:blipFill>
                    <a:blip r:embed="rId12"/>
                    <a:stretch>
                      <a:fillRect/>
                    </a:stretch>
                  </pic:blipFill>
                  <pic:spPr>
                    <a:xfrm>
                      <a:off x="0" y="0"/>
                      <a:ext cx="5760720" cy="3795496"/>
                    </a:xfrm>
                    <a:prstGeom prst="rect"/>
                  </pic:spPr>
                </pic:pic>
              </a:graphicData>
            </a:graphic>
          </wp:inline>
        </w:drawing>
      </w:r>
    </w:p>
    <w:p>
      <w:pPr>
        <w:jc w:val="center"/>
      </w:pPr>
      <w:r>
        <w:rPr>
          <w:i/>
          <w:color w:val="595959"/>
          <w:sz w:val="18"/>
        </w:rPr>
        <w:t>Figura: Detalle del error</w:t>
      </w:r>
    </w:p>
    <w:p>
      <w:r>
        <w:t xml:space="preserve">Para filas en estado </w:t>
      </w:r>
      <w:r>
        <w:rPr>
          <w:b/>
        </w:rPr>
        <w:t>ERROR</w:t>
      </w:r>
      <w:r>
        <w:t xml:space="preserve">, el botón </w:t>
      </w:r>
      <w:r>
        <w:rPr>
          <w:b/>
        </w:rPr>
        <w:t>Ver error</w:t>
      </w:r>
      <w:r>
        <w:t xml:space="preserve"> muestra un modal con:</w:t>
      </w:r>
    </w:p>
    <w:p>
      <w:pPr>
        <w:pStyle w:val="ListBullet"/>
      </w:pPr>
      <w:r>
        <w:rPr>
          <w:b/>
        </w:rPr>
        <w:t>Etapa</w:t>
      </w:r>
      <w:r>
        <w:t xml:space="preserve">: fase del proceso donde ocurrió el fallo (ej. </w:t>
      </w:r>
      <w:r>
        <w:rPr>
          <w:rFonts w:ascii="Consolas" w:hAnsi="Consolas"/>
          <w:color w:val="C7254E"/>
          <w:sz w:val="19"/>
        </w:rPr>
        <w:t>RESOLVER_AP_DOCUMENTOS</w:t>
      </w:r>
      <w:r>
        <w:t xml:space="preserve">, </w:t>
      </w:r>
      <w:r>
        <w:rPr>
          <w:rFonts w:ascii="Consolas" w:hAnsi="Consolas"/>
          <w:color w:val="C7254E"/>
          <w:sz w:val="19"/>
        </w:rPr>
        <w:t>COPIAR_PRUEBA</w:t>
      </w:r>
      <w:r>
        <w:t>).</w:t>
      </w:r>
    </w:p>
    <w:p>
      <w:pPr>
        <w:pStyle w:val="ListBullet"/>
      </w:pPr>
      <w:r>
        <w:rPr>
          <w:b/>
        </w:rPr>
        <w:t>Mensaje</w:t>
      </w:r>
      <w:r>
        <w:t>: causa técnica o funcional (ej. "No se encontró AP_Documentos para la obligación").</w:t>
      </w:r>
    </w:p>
    <w:p>
      <w:r>
        <w:t xml:space="preserve">Los archivos en ERROR </w:t>
      </w:r>
      <w:r>
        <w:rPr>
          <w:b/>
        </w:rPr>
        <w:t>se reintentan automáticamente</w:t>
      </w:r>
      <w:r>
        <w:t xml:space="preserve"> en la siguiente corrida del servicio.</w:t>
      </w:r>
    </w:p>
    <w:p>
      <w:pPr>
        <w:jc w:val="center"/>
      </w:pPr>
      <w:r>
        <w:drawing>
          <wp:inline xmlns:a="http://schemas.openxmlformats.org/drawingml/2006/main" xmlns:pic="http://schemas.openxmlformats.org/drawingml/2006/picture">
            <wp:extent cx="5760720" cy="3795496"/>
            <wp:docPr id="5" name="Picture 5"/>
            <wp:cNvGraphicFramePr>
              <a:graphicFrameLocks noChangeAspect="1"/>
            </wp:cNvGraphicFramePr>
            <a:graphic>
              <a:graphicData uri="http://schemas.openxmlformats.org/drawingml/2006/picture">
                <pic:pic>
                  <pic:nvPicPr>
                    <pic:cNvPr id="0" name="08_archivos_error.png"/>
                    <pic:cNvPicPr/>
                  </pic:nvPicPr>
                  <pic:blipFill>
                    <a:blip r:embed="rId13"/>
                    <a:stretch>
                      <a:fillRect/>
                    </a:stretch>
                  </pic:blipFill>
                  <pic:spPr>
                    <a:xfrm>
                      <a:off x="0" y="0"/>
                      <a:ext cx="5760720" cy="3795496"/>
                    </a:xfrm>
                    <a:prstGeom prst="rect"/>
                  </pic:spPr>
                </pic:pic>
              </a:graphicData>
            </a:graphic>
          </wp:inline>
        </w:drawing>
      </w:r>
    </w:p>
    <w:p>
      <w:pPr>
        <w:jc w:val="center"/>
      </w:pPr>
      <w:r>
        <w:rPr>
          <w:i/>
          <w:color w:val="595959"/>
          <w:sz w:val="18"/>
        </w:rPr>
        <w:t>Figura: Archivos con error</w:t>
      </w:r>
    </w:p>
    <w:p>
      <w:pPr>
        <w:pStyle w:val="Heading2"/>
      </w:pPr>
      <w:r>
        <w:t>3. Configuración</w:t>
      </w:r>
    </w:p>
    <w:p>
      <w:pPr>
        <w:jc w:val="center"/>
      </w:pPr>
      <w:r>
        <w:drawing>
          <wp:inline xmlns:a="http://schemas.openxmlformats.org/drawingml/2006/main" xmlns:pic="http://schemas.openxmlformats.org/drawingml/2006/picture">
            <wp:extent cx="5760720" cy="4242721"/>
            <wp:docPr id="6" name="Picture 6"/>
            <wp:cNvGraphicFramePr>
              <a:graphicFrameLocks noChangeAspect="1"/>
            </wp:cNvGraphicFramePr>
            <a:graphic>
              <a:graphicData uri="http://schemas.openxmlformats.org/drawingml/2006/picture">
                <pic:pic>
                  <pic:nvPicPr>
                    <pic:cNvPr id="0" name="04_configuracion.png"/>
                    <pic:cNvPicPr/>
                  </pic:nvPicPr>
                  <pic:blipFill>
                    <a:blip r:embed="rId14"/>
                    <a:stretch>
                      <a:fillRect/>
                    </a:stretch>
                  </pic:blipFill>
                  <pic:spPr>
                    <a:xfrm>
                      <a:off x="0" y="0"/>
                      <a:ext cx="5760720" cy="4242721"/>
                    </a:xfrm>
                    <a:prstGeom prst="rect"/>
                  </pic:spPr>
                </pic:pic>
              </a:graphicData>
            </a:graphic>
          </wp:inline>
        </w:drawing>
      </w:r>
    </w:p>
    <w:p>
      <w:pPr>
        <w:jc w:val="center"/>
      </w:pPr>
      <w:r>
        <w:rPr>
          <w:i/>
          <w:color w:val="595959"/>
          <w:sz w:val="18"/>
        </w:rPr>
        <w:t>Figura: Configuración</w:t>
      </w:r>
    </w:p>
    <w:p>
      <w:pPr>
        <w:pStyle w:val="Heading3"/>
      </w:pPr>
      <w:r>
        <w:t>Entorno activo</w:t>
      </w:r>
    </w:p>
    <w:p>
      <w:pPr>
        <w:pStyle w:val="ListBullet"/>
      </w:pPr>
      <w:r>
        <w:t>El selector muestra el entorno actual (</w:t>
      </w:r>
      <w:r>
        <w:rPr>
          <w:b/>
        </w:rPr>
        <w:t>PRUEBA</w:t>
      </w:r>
      <w:r>
        <w:t xml:space="preserve"> o </w:t>
      </w:r>
      <w:r>
        <w:rPr>
          <w:b/>
        </w:rPr>
        <w:t>PRODUCCION</w:t>
      </w:r>
      <w:r>
        <w:t>).</w:t>
      </w:r>
    </w:p>
    <w:p>
      <w:pPr>
        <w:pStyle w:val="ListBullet"/>
      </w:pPr>
      <w:r>
        <w:rPr>
          <w:b/>
        </w:rPr>
        <w:t>Cambiar entorno</w:t>
      </w:r>
      <w:r>
        <w:t xml:space="preserve"> aplica el cambio y regenera los archivos de configuración del servicio.</w:t>
      </w:r>
    </w:p>
    <w:p>
      <w:pPr>
        <w:pStyle w:val="ListBullet"/>
      </w:pPr>
      <w:r>
        <w:rPr>
          <w:b/>
        </w:rPr>
        <w:t>PRODUCCION permanece bloqueado</w:t>
      </w:r>
      <w:r>
        <w:t xml:space="preserve"> hasta que se habilite explícitamente en la base de datos (</w:t>
      </w:r>
      <w:r>
        <w:rPr>
          <w:rFonts w:ascii="Consolas" w:hAnsi="Consolas"/>
          <w:color w:val="C7254E"/>
          <w:sz w:val="19"/>
        </w:rPr>
        <w:t>Entornos_Migracion.ProduccionHabilitado</w:t>
      </w:r>
      <w:r>
        <w:t>). Cada cambio queda auditado.</w:t>
      </w:r>
    </w:p>
    <w:p>
      <w:pPr>
        <w:pStyle w:val="Heading3"/>
      </w:pPr>
      <w:r>
        <w:t>Parámetros del servicio</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sz w:val="18"/>
              </w:rPr>
              <w:t>Parámetro</w:t>
            </w:r>
          </w:p>
        </w:tc>
        <w:tc>
          <w:tcPr>
            <w:tcW w:type="dxa" w:w="4320"/>
            <w:shd w:val="clear" w:fill="D9E2F3"/>
          </w:tcPr>
          <w:p>
            <w:r/>
            <w:r>
              <w:rPr>
                <w:b/>
                <w:sz w:val="18"/>
              </w:rPr>
              <w:t>Descripción</w:t>
            </w:r>
          </w:p>
        </w:tc>
      </w:tr>
      <w:tr>
        <w:tc>
          <w:tcPr>
            <w:tcW w:type="dxa" w:w="4320"/>
          </w:tcPr>
          <w:p>
            <w:r>
              <w:rPr>
                <w:sz w:val="18"/>
              </w:rPr>
            </w:r>
            <w:r>
              <w:rPr>
                <w:rFonts w:ascii="Consolas" w:hAnsi="Consolas"/>
                <w:color w:val="C7254E"/>
                <w:sz w:val="19"/>
              </w:rPr>
              <w:t>MODO_SERVICIO</w:t>
            </w:r>
          </w:p>
        </w:tc>
        <w:tc>
          <w:tcPr>
            <w:tcW w:type="dxa" w:w="4320"/>
          </w:tcPr>
          <w:p>
            <w:r>
              <w:rPr>
                <w:sz w:val="18"/>
              </w:rPr>
            </w:r>
            <w:r>
              <w:rPr>
                <w:sz w:val="18"/>
              </w:rPr>
              <w:t>Entorno del servicio (PRUEBA)</w:t>
            </w:r>
          </w:p>
        </w:tc>
      </w:tr>
      <w:tr>
        <w:tc>
          <w:tcPr>
            <w:tcW w:type="dxa" w:w="4320"/>
          </w:tcPr>
          <w:p>
            <w:r>
              <w:rPr>
                <w:sz w:val="18"/>
              </w:rPr>
            </w:r>
            <w:r>
              <w:rPr>
                <w:rFonts w:ascii="Consolas" w:hAnsi="Consolas"/>
                <w:color w:val="C7254E"/>
                <w:sz w:val="19"/>
              </w:rPr>
              <w:t>SERVIDOR_MS_HASS</w:t>
            </w:r>
            <w:r>
              <w:rPr>
                <w:sz w:val="18"/>
              </w:rPr>
              <w:t xml:space="preserve"> / </w:t>
            </w:r>
            <w:r>
              <w:rPr>
                <w:rFonts w:ascii="Consolas" w:hAnsi="Consolas"/>
                <w:color w:val="C7254E"/>
                <w:sz w:val="19"/>
              </w:rPr>
              <w:t>BD_MS_HASS</w:t>
            </w:r>
          </w:p>
        </w:tc>
        <w:tc>
          <w:tcPr>
            <w:tcW w:type="dxa" w:w="4320"/>
          </w:tcPr>
          <w:p>
            <w:r>
              <w:rPr>
                <w:sz w:val="18"/>
              </w:rPr>
            </w:r>
            <w:r>
              <w:rPr>
                <w:sz w:val="18"/>
              </w:rPr>
              <w:t>Servidor y base del portal de proveedores</w:t>
            </w:r>
          </w:p>
        </w:tc>
      </w:tr>
      <w:tr>
        <w:tc>
          <w:tcPr>
            <w:tcW w:type="dxa" w:w="4320"/>
          </w:tcPr>
          <w:p>
            <w:r>
              <w:rPr>
                <w:sz w:val="18"/>
              </w:rPr>
            </w:r>
            <w:r>
              <w:rPr>
                <w:rFonts w:ascii="Consolas" w:hAnsi="Consolas"/>
                <w:color w:val="C7254E"/>
                <w:sz w:val="19"/>
              </w:rPr>
              <w:t>SERVIDOR_SPRING</w:t>
            </w:r>
            <w:r>
              <w:rPr>
                <w:sz w:val="18"/>
              </w:rPr>
              <w:t xml:space="preserve"> / </w:t>
            </w:r>
            <w:r>
              <w:rPr>
                <w:rFonts w:ascii="Consolas" w:hAnsi="Consolas"/>
                <w:color w:val="C7254E"/>
                <w:sz w:val="19"/>
              </w:rPr>
              <w:t>BD_SPRING</w:t>
            </w:r>
          </w:p>
        </w:tc>
        <w:tc>
          <w:tcPr>
            <w:tcW w:type="dxa" w:w="4320"/>
          </w:tcPr>
          <w:p>
            <w:r>
              <w:rPr>
                <w:sz w:val="18"/>
              </w:rPr>
            </w:r>
            <w:r>
              <w:rPr>
                <w:sz w:val="18"/>
              </w:rPr>
              <w:t>Servidor y base de Spring</w:t>
            </w:r>
          </w:p>
        </w:tc>
      </w:tr>
      <w:tr>
        <w:tc>
          <w:tcPr>
            <w:tcW w:type="dxa" w:w="4320"/>
          </w:tcPr>
          <w:p>
            <w:r>
              <w:rPr>
                <w:sz w:val="18"/>
              </w:rPr>
            </w:r>
            <w:r>
              <w:rPr>
                <w:rFonts w:ascii="Consolas" w:hAnsi="Consolas"/>
                <w:color w:val="C7254E"/>
                <w:sz w:val="19"/>
              </w:rPr>
              <w:t>RUTA_PRUEBA_LOCAL</w:t>
            </w:r>
          </w:p>
        </w:tc>
        <w:tc>
          <w:tcPr>
            <w:tcW w:type="dxa" w:w="4320"/>
          </w:tcPr>
          <w:p>
            <w:r>
              <w:rPr>
                <w:sz w:val="18"/>
              </w:rPr>
            </w:r>
            <w:r>
              <w:rPr>
                <w:sz w:val="18"/>
              </w:rPr>
              <w:t>Carpeta local para copias de prueba</w:t>
            </w:r>
          </w:p>
        </w:tc>
      </w:tr>
      <w:tr>
        <w:tc>
          <w:tcPr>
            <w:tcW w:type="dxa" w:w="4320"/>
          </w:tcPr>
          <w:p>
            <w:r>
              <w:rPr>
                <w:sz w:val="18"/>
              </w:rPr>
            </w:r>
            <w:r>
              <w:rPr>
                <w:rFonts w:ascii="Consolas" w:hAnsi="Consolas"/>
                <w:color w:val="C7254E"/>
                <w:sz w:val="19"/>
              </w:rPr>
              <w:t>RUTA_RAIZ</w:t>
            </w:r>
          </w:p>
        </w:tc>
        <w:tc>
          <w:tcPr>
            <w:tcW w:type="dxa" w:w="4320"/>
          </w:tcPr>
          <w:p>
            <w:r>
              <w:rPr>
                <w:sz w:val="18"/>
              </w:rPr>
            </w:r>
            <w:r>
              <w:rPr>
                <w:sz w:val="18"/>
              </w:rPr>
              <w:t>Raíz UNC destino (</w:t>
            </w:r>
            <w:r>
              <w:rPr>
                <w:rFonts w:ascii="Consolas" w:hAnsi="Consolas"/>
                <w:color w:val="C7254E"/>
                <w:sz w:val="19"/>
              </w:rPr>
              <w:t>\\172.16.20.24\SpringGestionDoc\PRUEBAS</w:t>
            </w:r>
            <w:r>
              <w:rPr>
                <w:sz w:val="18"/>
              </w:rPr>
              <w:t>)</w:t>
            </w:r>
          </w:p>
        </w:tc>
      </w:tr>
      <w:tr>
        <w:tc>
          <w:tcPr>
            <w:tcW w:type="dxa" w:w="4320"/>
          </w:tcPr>
          <w:p>
            <w:r>
              <w:rPr>
                <w:sz w:val="18"/>
              </w:rPr>
            </w:r>
            <w:r>
              <w:rPr>
                <w:rFonts w:ascii="Consolas" w:hAnsi="Consolas"/>
                <w:color w:val="C7254E"/>
                <w:sz w:val="19"/>
              </w:rPr>
              <w:t>TIPO_COPIA_PRUEBA</w:t>
            </w:r>
          </w:p>
        </w:tc>
        <w:tc>
          <w:tcPr>
            <w:tcW w:type="dxa" w:w="4320"/>
          </w:tcPr>
          <w:p>
            <w:r>
              <w:rPr>
                <w:sz w:val="18"/>
              </w:rPr>
            </w:r>
            <w:r>
              <w:rPr>
                <w:rFonts w:ascii="Consolas" w:hAnsi="Consolas"/>
                <w:color w:val="C7254E"/>
                <w:sz w:val="19"/>
              </w:rPr>
              <w:t>LOCAL</w:t>
            </w:r>
            <w:r>
              <w:rPr>
                <w:sz w:val="18"/>
              </w:rPr>
              <w:t xml:space="preserve"> o </w:t>
            </w:r>
            <w:r>
              <w:rPr>
                <w:rFonts w:ascii="Consolas" w:hAnsi="Consolas"/>
                <w:color w:val="C7254E"/>
                <w:sz w:val="19"/>
              </w:rPr>
              <w:t>COMPARTIDA</w:t>
            </w:r>
          </w:p>
        </w:tc>
      </w:tr>
      <w:tr>
        <w:tc>
          <w:tcPr>
            <w:tcW w:type="dxa" w:w="4320"/>
          </w:tcPr>
          <w:p>
            <w:r>
              <w:rPr>
                <w:sz w:val="18"/>
              </w:rPr>
            </w:r>
            <w:r>
              <w:rPr>
                <w:rFonts w:ascii="Consolas" w:hAnsi="Consolas"/>
                <w:color w:val="C7254E"/>
                <w:sz w:val="19"/>
              </w:rPr>
              <w:t>MODO_PRUEBA</w:t>
            </w:r>
          </w:p>
        </w:tc>
        <w:tc>
          <w:tcPr>
            <w:tcW w:type="dxa" w:w="4320"/>
          </w:tcPr>
          <w:p>
            <w:r>
              <w:rPr>
                <w:sz w:val="18"/>
              </w:rPr>
            </w:r>
            <w:r>
              <w:rPr>
                <w:rFonts w:ascii="Consolas" w:hAnsi="Consolas"/>
                <w:color w:val="C7254E"/>
                <w:sz w:val="19"/>
              </w:rPr>
              <w:t>SIMULACION</w:t>
            </w:r>
            <w:r>
              <w:rPr>
                <w:sz w:val="18"/>
              </w:rPr>
              <w:t xml:space="preserve"> (solo lectura) o </w:t>
            </w:r>
            <w:r>
              <w:rPr>
                <w:rFonts w:ascii="Consolas" w:hAnsi="Consolas"/>
                <w:color w:val="C7254E"/>
                <w:sz w:val="19"/>
              </w:rPr>
              <w:t>ESCRITURA</w:t>
            </w:r>
            <w:r>
              <w:rPr>
                <w:sz w:val="18"/>
              </w:rPr>
              <w:t xml:space="preserve"> (registra control y GD_Archivo)</w:t>
            </w:r>
          </w:p>
        </w:tc>
      </w:tr>
      <w:tr>
        <w:tc>
          <w:tcPr>
            <w:tcW w:type="dxa" w:w="4320"/>
          </w:tcPr>
          <w:p>
            <w:r>
              <w:rPr>
                <w:sz w:val="18"/>
              </w:rPr>
            </w:r>
            <w:r>
              <w:rPr>
                <w:rFonts w:ascii="Consolas" w:hAnsi="Consolas"/>
                <w:color w:val="C7254E"/>
                <w:sz w:val="19"/>
              </w:rPr>
              <w:t>BATCH_PRUEBA</w:t>
            </w:r>
          </w:p>
        </w:tc>
        <w:tc>
          <w:tcPr>
            <w:tcW w:type="dxa" w:w="4320"/>
          </w:tcPr>
          <w:p>
            <w:r>
              <w:rPr>
                <w:sz w:val="18"/>
              </w:rPr>
            </w:r>
            <w:r>
              <w:rPr>
                <w:sz w:val="18"/>
              </w:rPr>
              <w:t xml:space="preserve">Archivos </w:t>
            </w:r>
            <w:r>
              <w:rPr>
                <w:rFonts w:ascii="Consolas" w:hAnsi="Consolas"/>
                <w:color w:val="C7254E"/>
                <w:sz w:val="19"/>
              </w:rPr>
              <w:t>MS_Archivo</w:t>
            </w:r>
            <w:r>
              <w:rPr>
                <w:sz w:val="18"/>
              </w:rPr>
              <w:t xml:space="preserve"> por corrida</w:t>
            </w:r>
          </w:p>
        </w:tc>
      </w:tr>
      <w:tr>
        <w:tc>
          <w:tcPr>
            <w:tcW w:type="dxa" w:w="4320"/>
          </w:tcPr>
          <w:p>
            <w:r>
              <w:rPr>
                <w:sz w:val="18"/>
              </w:rPr>
            </w:r>
            <w:r>
              <w:rPr>
                <w:rFonts w:ascii="Consolas" w:hAnsi="Consolas"/>
                <w:color w:val="C7254E"/>
                <w:sz w:val="19"/>
              </w:rPr>
              <w:t>BATCH_AP_DOCUMENTO_PRUEBA</w:t>
            </w:r>
          </w:p>
        </w:tc>
        <w:tc>
          <w:tcPr>
            <w:tcW w:type="dxa" w:w="4320"/>
          </w:tcPr>
          <w:p>
            <w:r>
              <w:rPr>
                <w:sz w:val="18"/>
              </w:rPr>
            </w:r>
            <w:r>
              <w:rPr>
                <w:sz w:val="18"/>
              </w:rPr>
              <w:t xml:space="preserve">Archivos </w:t>
            </w:r>
            <w:r>
              <w:rPr>
                <w:rFonts w:ascii="Consolas" w:hAnsi="Consolas"/>
                <w:color w:val="C7254E"/>
                <w:sz w:val="19"/>
              </w:rPr>
              <w:t>MS_AP_DocumentoArchivo</w:t>
            </w:r>
            <w:r>
              <w:rPr>
                <w:sz w:val="18"/>
              </w:rPr>
              <w:t xml:space="preserve"> por corrida</w:t>
            </w:r>
          </w:p>
        </w:tc>
      </w:tr>
      <w:tr>
        <w:tc>
          <w:tcPr>
            <w:tcW w:type="dxa" w:w="4320"/>
          </w:tcPr>
          <w:p>
            <w:r>
              <w:rPr>
                <w:sz w:val="18"/>
              </w:rPr>
            </w:r>
            <w:r>
              <w:rPr>
                <w:rFonts w:ascii="Consolas" w:hAnsi="Consolas"/>
                <w:color w:val="C7254E"/>
                <w:sz w:val="19"/>
              </w:rPr>
              <w:t>TABLA_ADJUNTOS</w:t>
            </w:r>
          </w:p>
        </w:tc>
        <w:tc>
          <w:tcPr>
            <w:tcW w:type="dxa" w:w="4320"/>
          </w:tcPr>
          <w:p>
            <w:r>
              <w:rPr>
                <w:sz w:val="18"/>
              </w:rPr>
            </w:r>
            <w:r>
              <w:rPr>
                <w:sz w:val="18"/>
              </w:rPr>
              <w:t>Tabla origen de adjuntos</w:t>
            </w:r>
          </w:p>
        </w:tc>
      </w:tr>
      <w:tr>
        <w:tc>
          <w:tcPr>
            <w:tcW w:type="dxa" w:w="4320"/>
          </w:tcPr>
          <w:p>
            <w:r>
              <w:rPr>
                <w:sz w:val="18"/>
              </w:rPr>
            </w:r>
            <w:r>
              <w:rPr>
                <w:rFonts w:ascii="Consolas" w:hAnsi="Consolas"/>
                <w:color w:val="C7254E"/>
                <w:sz w:val="19"/>
              </w:rPr>
              <w:t>USUARIO_MIGRACION</w:t>
            </w:r>
          </w:p>
        </w:tc>
        <w:tc>
          <w:tcPr>
            <w:tcW w:type="dxa" w:w="4320"/>
          </w:tcPr>
          <w:p>
            <w:r>
              <w:rPr>
                <w:sz w:val="18"/>
              </w:rPr>
            </w:r>
            <w:r>
              <w:rPr>
                <w:sz w:val="18"/>
              </w:rPr>
              <w:t>Usuario registrado en las inserciones (</w:t>
            </w:r>
            <w:r>
              <w:rPr>
                <w:rFonts w:ascii="Consolas" w:hAnsi="Consolas"/>
                <w:color w:val="C7254E"/>
                <w:sz w:val="19"/>
              </w:rPr>
              <w:t>UltimoUsuario</w:t>
            </w:r>
            <w:r>
              <w:rPr>
                <w:sz w:val="18"/>
              </w:rPr>
              <w:t>)</w:t>
            </w:r>
          </w:p>
        </w:tc>
      </w:tr>
      <w:tr>
        <w:tc>
          <w:tcPr>
            <w:tcW w:type="dxa" w:w="4320"/>
          </w:tcPr>
          <w:p>
            <w:r>
              <w:rPr>
                <w:sz w:val="18"/>
              </w:rPr>
            </w:r>
            <w:r>
              <w:rPr>
                <w:rFonts w:ascii="Consolas" w:hAnsi="Consolas"/>
                <w:color w:val="C7254E"/>
                <w:sz w:val="19"/>
              </w:rPr>
              <w:t>SQL_USER</w:t>
            </w:r>
          </w:p>
        </w:tc>
        <w:tc>
          <w:tcPr>
            <w:tcW w:type="dxa" w:w="4320"/>
          </w:tcPr>
          <w:p>
            <w:r>
              <w:rPr>
                <w:sz w:val="18"/>
              </w:rPr>
            </w:r>
            <w:r>
              <w:rPr>
                <w:sz w:val="18"/>
              </w:rPr>
              <w:t xml:space="preserve">Usuario SQL del servicio (la contraseña </w:t>
            </w:r>
            <w:r>
              <w:rPr>
                <w:b/>
                <w:sz w:val="18"/>
              </w:rPr>
              <w:t>no</w:t>
            </w:r>
            <w:r>
              <w:rPr>
                <w:sz w:val="18"/>
              </w:rPr>
              <w:t xml:space="preserve"> se muestra ni edita aquí)</w:t>
            </w:r>
          </w:p>
        </w:tc>
      </w:tr>
    </w:tbl>
    <w:p>
      <w:pPr>
        <w:spacing w:after="40"/>
      </w:pPr>
    </w:p>
    <w:p>
      <w:r>
        <w:rPr>
          <w:b/>
        </w:rPr>
        <w:t>Guardar configuración</w:t>
      </w:r>
      <w:r>
        <w:t xml:space="preserve"> valida los valores antes de aplicar: en PRUEBA exige </w:t>
      </w:r>
      <w:r>
        <w:rPr>
          <w:rFonts w:ascii="Consolas" w:hAnsi="Consolas"/>
          <w:color w:val="C7254E"/>
          <w:sz w:val="19"/>
        </w:rPr>
        <w:t>BD_SPRING = HASS_SPRING_PRUEBA</w:t>
      </w:r>
      <w:r>
        <w:t xml:space="preserve"> y la raíz </w:t>
      </w:r>
      <w:r>
        <w:rPr>
          <w:rFonts w:ascii="Consolas" w:hAnsi="Consolas"/>
          <w:color w:val="C7254E"/>
          <w:sz w:val="19"/>
        </w:rPr>
        <w:t>...\PRUEBAS</w:t>
      </w:r>
      <w:r>
        <w:t>; valores inválidos se rechazan con el detalle del error.</w:t>
      </w:r>
    </w:p>
    <w:p>
      <w:pPr>
        <w:pStyle w:val="Heading2"/>
      </w:pPr>
      <w:r>
        <w:t>4. Ejecución</w:t>
      </w:r>
    </w:p>
    <w:p>
      <w:pPr>
        <w:jc w:val="center"/>
      </w:pPr>
      <w:r>
        <w:drawing>
          <wp:inline xmlns:a="http://schemas.openxmlformats.org/drawingml/2006/main" xmlns:pic="http://schemas.openxmlformats.org/drawingml/2006/picture">
            <wp:extent cx="5760720" cy="3795496"/>
            <wp:docPr id="7" name="Picture 7"/>
            <wp:cNvGraphicFramePr>
              <a:graphicFrameLocks noChangeAspect="1"/>
            </wp:cNvGraphicFramePr>
            <a:graphic>
              <a:graphicData uri="http://schemas.openxmlformats.org/drawingml/2006/picture">
                <pic:pic>
                  <pic:nvPicPr>
                    <pic:cNvPr id="0" name="05_ejecucion.png"/>
                    <pic:cNvPicPr/>
                  </pic:nvPicPr>
                  <pic:blipFill>
                    <a:blip r:embed="rId15"/>
                    <a:stretch>
                      <a:fillRect/>
                    </a:stretch>
                  </pic:blipFill>
                  <pic:spPr>
                    <a:xfrm>
                      <a:off x="0" y="0"/>
                      <a:ext cx="5760720" cy="3795496"/>
                    </a:xfrm>
                    <a:prstGeom prst="rect"/>
                  </pic:spPr>
                </pic:pic>
              </a:graphicData>
            </a:graphic>
          </wp:inline>
        </w:drawing>
      </w:r>
    </w:p>
    <w:p>
      <w:pPr>
        <w:jc w:val="center"/>
      </w:pPr>
      <w:r>
        <w:rPr>
          <w:i/>
          <w:color w:val="595959"/>
          <w:sz w:val="18"/>
        </w:rPr>
        <w:t>Figura: Ejecución</w:t>
      </w:r>
    </w:p>
    <w:p>
      <w:r>
        <w:t>Ejecución manual del servicio con los lotes configurados:</w:t>
      </w:r>
    </w:p>
    <w:p>
      <w:pPr>
        <w:pStyle w:val="ListBullet"/>
      </w:pPr>
      <w:r>
        <w:rPr>
          <w:b/>
        </w:rPr>
        <w:t>Ejecutar ahora</w:t>
      </w:r>
      <w:r>
        <w:t xml:space="preserve">: corre una migración inmediata procesando hasta </w:t>
      </w:r>
      <w:r>
        <w:rPr>
          <w:rFonts w:ascii="Consolas" w:hAnsi="Consolas"/>
          <w:color w:val="C7254E"/>
          <w:sz w:val="19"/>
        </w:rPr>
        <w:t>BATCH_PRUEBA</w:t>
      </w:r>
      <w:r>
        <w:t xml:space="preserve"> adjuntos y </w:t>
      </w:r>
      <w:r>
        <w:rPr>
          <w:rFonts w:ascii="Consolas" w:hAnsi="Consolas"/>
          <w:color w:val="C7254E"/>
          <w:sz w:val="19"/>
        </w:rPr>
        <w:t>BATCH_AP_DOCUMENTO_PRUEBA</w:t>
      </w:r>
      <w:r>
        <w:t xml:space="preserve"> archivos AP.</w:t>
      </w:r>
    </w:p>
    <w:p>
      <w:pPr>
        <w:pStyle w:val="ListBullet"/>
      </w:pPr>
      <w:r>
        <w:rPr>
          <w:b/>
        </w:rPr>
        <w:t>Procesar todo lo faltante</w:t>
      </w:r>
      <w:r>
        <w:t>: ajusta los lotes al total de pendientes y corre una sola vez (puede tardar bastante según el volumen).</w:t>
      </w:r>
    </w:p>
    <w:p>
      <w:r>
        <w:t xml:space="preserve">El panel negro muestra la </w:t>
      </w:r>
      <w:r>
        <w:rPr>
          <w:b/>
        </w:rPr>
        <w:t>salida en vivo</w:t>
      </w:r>
      <w:r>
        <w:t xml:space="preserve"> del proceso (se actualiza cada 2 segundos) con inicio, fin y duración.</w:t>
      </w:r>
    </w:p>
    <w:p>
      <w:r>
        <w:t>&gt; Solo se puede ejecutar en modo PRUEBA. La API rechaza ejecuciones manuales en PRODUCCION.</w:t>
      </w:r>
    </w:p>
    <w:p>
      <w:pPr>
        <w:pStyle w:val="Heading2"/>
      </w:pPr>
      <w:r>
        <w:t>5. Ejecución personalizada</w:t>
      </w:r>
    </w:p>
    <w:p>
      <w:pPr>
        <w:jc w:val="center"/>
      </w:pPr>
      <w:r>
        <w:drawing>
          <wp:inline xmlns:a="http://schemas.openxmlformats.org/drawingml/2006/main" xmlns:pic="http://schemas.openxmlformats.org/drawingml/2006/picture">
            <wp:extent cx="5760720" cy="3795496"/>
            <wp:docPr id="8" name="Picture 8"/>
            <wp:cNvGraphicFramePr>
              <a:graphicFrameLocks noChangeAspect="1"/>
            </wp:cNvGraphicFramePr>
            <a:graphic>
              <a:graphicData uri="http://schemas.openxmlformats.org/drawingml/2006/picture">
                <pic:pic>
                  <pic:nvPicPr>
                    <pic:cNvPr id="0" name="06_ejecucion_personalizada.png"/>
                    <pic:cNvPicPr/>
                  </pic:nvPicPr>
                  <pic:blipFill>
                    <a:blip r:embed="rId16"/>
                    <a:stretch>
                      <a:fillRect/>
                    </a:stretch>
                  </pic:blipFill>
                  <pic:spPr>
                    <a:xfrm>
                      <a:off x="0" y="0"/>
                      <a:ext cx="5760720" cy="3795496"/>
                    </a:xfrm>
                    <a:prstGeom prst="rect"/>
                  </pic:spPr>
                </pic:pic>
              </a:graphicData>
            </a:graphic>
          </wp:inline>
        </w:drawing>
      </w:r>
    </w:p>
    <w:p>
      <w:pPr>
        <w:jc w:val="center"/>
      </w:pPr>
      <w:r>
        <w:rPr>
          <w:i/>
          <w:color w:val="595959"/>
          <w:sz w:val="18"/>
        </w:rPr>
        <w:t>Figura: Ejecución personalizada</w:t>
      </w:r>
    </w:p>
    <w:p>
      <w:r>
        <w:t xml:space="preserve">Procesa </w:t>
      </w:r>
      <w:r>
        <w:rPr>
          <w:b/>
        </w:rPr>
        <w:t>únicamente</w:t>
      </w:r>
      <w:r>
        <w:t xml:space="preserve"> los archivos pendientes relacionados a una orden de compra o servicio:</w:t>
      </w:r>
    </w:p>
    <w:p>
      <w:pPr>
        <w:pStyle w:val="ListNumber"/>
      </w:pPr>
      <w:r>
        <w:rPr>
          <w:b/>
        </w:rPr>
        <w:t>N° de orden</w:t>
      </w:r>
      <w:r>
        <w:t xml:space="preserve">: número de OC (ej. </w:t>
      </w:r>
      <w:r>
        <w:rPr>
          <w:rFonts w:ascii="Consolas" w:hAnsi="Consolas"/>
          <w:color w:val="C7254E"/>
          <w:sz w:val="19"/>
        </w:rPr>
        <w:t>0000001710</w:t>
      </w:r>
      <w:r>
        <w:t xml:space="preserve">) u OS (ej. </w:t>
      </w:r>
      <w:r>
        <w:rPr>
          <w:rFonts w:ascii="Consolas" w:hAnsi="Consolas"/>
          <w:color w:val="C7254E"/>
          <w:sz w:val="19"/>
        </w:rPr>
        <w:t>6-00001624</w:t>
      </w:r>
      <w:r>
        <w:t>).</w:t>
      </w:r>
    </w:p>
    <w:p>
      <w:pPr>
        <w:pStyle w:val="ListNumber"/>
      </w:pPr>
      <w:r>
        <w:rPr>
          <w:b/>
        </w:rPr>
        <w:t>Tipo</w:t>
      </w:r>
      <w:r>
        <w:t xml:space="preserve">: </w:t>
      </w:r>
      <w:r>
        <w:rPr>
          <w:rFonts w:ascii="Consolas" w:hAnsi="Consolas"/>
          <w:color w:val="C7254E"/>
          <w:sz w:val="19"/>
        </w:rPr>
        <w:t>Auto</w:t>
      </w:r>
      <w:r>
        <w:t xml:space="preserve"> (busca en OC y OS), </w:t>
      </w:r>
      <w:r>
        <w:rPr>
          <w:rFonts w:ascii="Consolas" w:hAnsi="Consolas"/>
          <w:color w:val="C7254E"/>
          <w:sz w:val="19"/>
        </w:rPr>
        <w:t>OC</w:t>
      </w:r>
      <w:r>
        <w:t xml:space="preserve"> u </w:t>
      </w:r>
      <w:r>
        <w:rPr>
          <w:rFonts w:ascii="Consolas" w:hAnsi="Consolas"/>
          <w:color w:val="C7254E"/>
          <w:sz w:val="19"/>
        </w:rPr>
        <w:t>OS</w:t>
      </w:r>
      <w:r>
        <w:t>.</w:t>
      </w:r>
    </w:p>
    <w:p>
      <w:pPr>
        <w:pStyle w:val="ListNumber"/>
      </w:pPr>
      <w:r>
        <w:rPr>
          <w:b/>
        </w:rPr>
        <w:t>Procesar orden</w:t>
      </w:r>
      <w:r>
        <w:t>: primero informa cuántas obligaciones (facturas) componen la orden y cuántos archivos pendientes tiene; luego lanza la migración filtrada. Si todo ya está migrado, avisa que no hay pendientes.</w:t>
      </w:r>
    </w:p>
    <w:p>
      <w:r>
        <w:rPr>
          <w:b/>
        </w:rPr>
        <w:t>Uso típico:</w:t>
      </w:r>
      <w:r>
        <w:t xml:space="preserve"> cuando el proveedor adjunta archivos nuevos a una OC/OS ya migrada y se quiere sincronizar de inmediato sin esperar la tarea programada de cada 2 horas.</w:t>
      </w:r>
    </w:p>
    <w:p>
      <w:pPr>
        <w:pStyle w:val="Heading2"/>
      </w:pPr>
      <w:r>
        <w:t>6. Log del servicio</w:t>
      </w:r>
    </w:p>
    <w:p>
      <w:pPr>
        <w:jc w:val="center"/>
      </w:pPr>
      <w:r>
        <w:drawing>
          <wp:inline xmlns:a="http://schemas.openxmlformats.org/drawingml/2006/main" xmlns:pic="http://schemas.openxmlformats.org/drawingml/2006/picture">
            <wp:extent cx="5760720" cy="3795496"/>
            <wp:docPr id="9" name="Picture 9"/>
            <wp:cNvGraphicFramePr>
              <a:graphicFrameLocks noChangeAspect="1"/>
            </wp:cNvGraphicFramePr>
            <a:graphic>
              <a:graphicData uri="http://schemas.openxmlformats.org/drawingml/2006/picture">
                <pic:pic>
                  <pic:nvPicPr>
                    <pic:cNvPr id="0" name="07_log.png"/>
                    <pic:cNvPicPr/>
                  </pic:nvPicPr>
                  <pic:blipFill>
                    <a:blip r:embed="rId17"/>
                    <a:stretch>
                      <a:fillRect/>
                    </a:stretch>
                  </pic:blipFill>
                  <pic:spPr>
                    <a:xfrm>
                      <a:off x="0" y="0"/>
                      <a:ext cx="5760720" cy="3795496"/>
                    </a:xfrm>
                    <a:prstGeom prst="rect"/>
                  </pic:spPr>
                </pic:pic>
              </a:graphicData>
            </a:graphic>
          </wp:inline>
        </w:drawing>
      </w:r>
    </w:p>
    <w:p>
      <w:pPr>
        <w:jc w:val="center"/>
      </w:pPr>
      <w:r>
        <w:rPr>
          <w:i/>
          <w:color w:val="595959"/>
          <w:sz w:val="18"/>
        </w:rPr>
        <w:t>Figura: Log</w:t>
      </w:r>
    </w:p>
    <w:p>
      <w:r>
        <w:t xml:space="preserve">Muestra las últimas líneas de </w:t>
      </w:r>
      <w:r>
        <w:rPr>
          <w:rFonts w:ascii="Consolas" w:hAnsi="Consolas"/>
          <w:color w:val="C7254E"/>
          <w:sz w:val="19"/>
        </w:rPr>
        <w:t>migrar_adjuntos_spring_prueba.log</w:t>
      </w:r>
      <w:r>
        <w:t>. Cada línea incluye fecha/hora, nivel, etapa (</w:t>
      </w:r>
      <w:r>
        <w:rPr>
          <w:rFonts w:ascii="Consolas" w:hAnsi="Consolas"/>
          <w:color w:val="C7254E"/>
          <w:sz w:val="19"/>
        </w:rPr>
        <w:t>[INICIO]</w:t>
      </w:r>
      <w:r>
        <w:t xml:space="preserve">, </w:t>
      </w:r>
      <w:r>
        <w:rPr>
          <w:rFonts w:ascii="Consolas" w:hAnsi="Consolas"/>
          <w:color w:val="C7254E"/>
          <w:sz w:val="19"/>
        </w:rPr>
        <w:t>[RESOLVER_AP_DOCUMENTOS]</w:t>
      </w:r>
      <w:r>
        <w:t xml:space="preserve">, </w:t>
      </w:r>
      <w:r>
        <w:rPr>
          <w:rFonts w:ascii="Consolas" w:hAnsi="Consolas"/>
          <w:color w:val="C7254E"/>
          <w:sz w:val="19"/>
        </w:rPr>
        <w:t>[VALIDAR_RUTA]</w:t>
      </w:r>
      <w:r>
        <w:t xml:space="preserve">, </w:t>
      </w:r>
      <w:r>
        <w:rPr>
          <w:rFonts w:ascii="Consolas" w:hAnsi="Consolas"/>
          <w:color w:val="C7254E"/>
          <w:sz w:val="19"/>
        </w:rPr>
        <w:t>[BUSCAR_GD_GRUPO]</w:t>
      </w:r>
      <w:r>
        <w:t xml:space="preserve">, </w:t>
      </w:r>
      <w:r>
        <w:rPr>
          <w:rFonts w:ascii="Consolas" w:hAnsi="Consolas"/>
          <w:color w:val="C7254E"/>
          <w:sz w:val="19"/>
        </w:rPr>
        <w:t>[COPIAR_PRUEBA]</w:t>
      </w:r>
      <w:r>
        <w:t xml:space="preserve">, </w:t>
      </w:r>
      <w:r>
        <w:rPr>
          <w:rFonts w:ascii="Consolas" w:hAnsi="Consolas"/>
          <w:color w:val="C7254E"/>
          <w:sz w:val="19"/>
        </w:rPr>
        <w:t>[INSERTAR_GD_ARCHIVO]</w:t>
      </w:r>
      <w:r>
        <w:t xml:space="preserve">, </w:t>
      </w:r>
      <w:r>
        <w:rPr>
          <w:rFonts w:ascii="Consolas" w:hAnsi="Consolas"/>
          <w:color w:val="C7254E"/>
          <w:sz w:val="19"/>
        </w:rPr>
        <w:t>[ESCRITURA]</w:t>
      </w:r>
      <w:r>
        <w:t xml:space="preserve">, </w:t>
      </w:r>
      <w:r>
        <w:rPr>
          <w:rFonts w:ascii="Consolas" w:hAnsi="Consolas"/>
          <w:color w:val="C7254E"/>
          <w:sz w:val="19"/>
        </w:rPr>
        <w:t>[RESUMEN]</w:t>
      </w:r>
      <w:r>
        <w:t>) e identificadores del archivo procesado.</w:t>
      </w:r>
    </w:p>
    <w:p>
      <w:r>
        <w:t xml:space="preserve">Use </w:t>
      </w:r>
      <w:r>
        <w:rPr>
          <w:b/>
        </w:rPr>
        <w:t>Actualizar</w:t>
      </w:r>
      <w:r>
        <w:t xml:space="preserve"> para recargar. Busque las marcas </w:t>
      </w:r>
      <w:r>
        <w:rPr>
          <w:rFonts w:ascii="Consolas" w:hAnsi="Consolas"/>
          <w:color w:val="C7254E"/>
          <w:sz w:val="19"/>
        </w:rPr>
        <w:t>[FALLIDO]</w:t>
      </w:r>
      <w:r>
        <w:t xml:space="preserve"> para localizar errores y </w:t>
      </w:r>
      <w:r>
        <w:rPr>
          <w:rFonts w:ascii="Consolas" w:hAnsi="Consolas"/>
          <w:color w:val="C7254E"/>
          <w:sz w:val="19"/>
        </w:rPr>
        <w:t>[RESUMEN]</w:t>
      </w:r>
      <w:r>
        <w:t xml:space="preserve"> para el total de cada corrida.</w:t>
      </w:r>
    </w:p>
    <w:p>
      <w:pPr>
        <w:pStyle w:val="Heading2"/>
      </w:pPr>
      <w:r>
        <w:t>7. Estados de un archivo</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sz w:val="18"/>
              </w:rPr>
              <w:t>Estado</w:t>
            </w:r>
          </w:p>
        </w:tc>
        <w:tc>
          <w:tcPr>
            <w:tcW w:type="dxa" w:w="4320"/>
            <w:shd w:val="clear" w:fill="D9E2F3"/>
          </w:tcPr>
          <w:p>
            <w:r/>
            <w:r>
              <w:rPr>
                <w:b/>
                <w:sz w:val="18"/>
              </w:rPr>
              <w:t>Significado</w:t>
            </w:r>
          </w:p>
        </w:tc>
      </w:tr>
      <w:tr>
        <w:tc>
          <w:tcPr>
            <w:tcW w:type="dxa" w:w="4320"/>
          </w:tcPr>
          <w:p>
            <w:r>
              <w:rPr>
                <w:sz w:val="18"/>
              </w:rPr>
            </w:r>
            <w:r>
              <w:rPr>
                <w:sz w:val="18"/>
              </w:rPr>
              <w:t>PENDIENTE</w:t>
            </w:r>
          </w:p>
        </w:tc>
        <w:tc>
          <w:tcPr>
            <w:tcW w:type="dxa" w:w="4320"/>
          </w:tcPr>
          <w:p>
            <w:r>
              <w:rPr>
                <w:sz w:val="18"/>
              </w:rPr>
            </w:r>
            <w:r>
              <w:rPr>
                <w:sz w:val="18"/>
              </w:rPr>
              <w:t>Registrado para traslado, aún sin procesar</w:t>
            </w:r>
          </w:p>
        </w:tc>
      </w:tr>
      <w:tr>
        <w:tc>
          <w:tcPr>
            <w:tcW w:type="dxa" w:w="4320"/>
          </w:tcPr>
          <w:p>
            <w:r>
              <w:rPr>
                <w:sz w:val="18"/>
              </w:rPr>
            </w:r>
            <w:r>
              <w:rPr>
                <w:sz w:val="18"/>
              </w:rPr>
              <w:t>PROCESANDO</w:t>
            </w:r>
          </w:p>
        </w:tc>
        <w:tc>
          <w:tcPr>
            <w:tcW w:type="dxa" w:w="4320"/>
          </w:tcPr>
          <w:p>
            <w:r>
              <w:rPr>
                <w:sz w:val="18"/>
              </w:rPr>
            </w:r>
            <w:r>
              <w:rPr>
                <w:sz w:val="18"/>
              </w:rPr>
              <w:t>En ejecución en este momento</w:t>
            </w:r>
          </w:p>
        </w:tc>
      </w:tr>
      <w:tr>
        <w:tc>
          <w:tcPr>
            <w:tcW w:type="dxa" w:w="4320"/>
          </w:tcPr>
          <w:p>
            <w:r>
              <w:rPr>
                <w:sz w:val="18"/>
              </w:rPr>
            </w:r>
            <w:r>
              <w:rPr>
                <w:sz w:val="18"/>
              </w:rPr>
              <w:t>COMPLETADO</w:t>
            </w:r>
          </w:p>
        </w:tc>
        <w:tc>
          <w:tcPr>
            <w:tcW w:type="dxa" w:w="4320"/>
          </w:tcPr>
          <w:p>
            <w:r>
              <w:rPr>
                <w:sz w:val="18"/>
              </w:rPr>
            </w:r>
            <w:r>
              <w:rPr>
                <w:sz w:val="18"/>
              </w:rPr>
              <w:t xml:space="preserve">Copiado al destino y registrado en </w:t>
            </w:r>
            <w:r>
              <w:rPr>
                <w:rFonts w:ascii="Consolas" w:hAnsi="Consolas"/>
                <w:color w:val="C7254E"/>
                <w:sz w:val="19"/>
              </w:rPr>
              <w:t>GD_Archivo</w:t>
            </w:r>
          </w:p>
        </w:tc>
      </w:tr>
      <w:tr>
        <w:tc>
          <w:tcPr>
            <w:tcW w:type="dxa" w:w="4320"/>
          </w:tcPr>
          <w:p>
            <w:r>
              <w:rPr>
                <w:sz w:val="18"/>
              </w:rPr>
            </w:r>
            <w:r>
              <w:rPr>
                <w:sz w:val="18"/>
              </w:rPr>
              <w:t>ERROR</w:t>
            </w:r>
          </w:p>
        </w:tc>
        <w:tc>
          <w:tcPr>
            <w:tcW w:type="dxa" w:w="4320"/>
          </w:tcPr>
          <w:p>
            <w:r>
              <w:rPr>
                <w:sz w:val="18"/>
              </w:rPr>
            </w:r>
            <w:r>
              <w:rPr>
                <w:sz w:val="18"/>
              </w:rPr>
              <w:t>Falló; el detalle muestra etapa y mensaje. Se reintenta solo en la siguiente corrida</w:t>
            </w:r>
          </w:p>
        </w:tc>
      </w:tr>
      <w:tr>
        <w:tc>
          <w:tcPr>
            <w:tcW w:type="dxa" w:w="4320"/>
          </w:tcPr>
          <w:p>
            <w:r>
              <w:rPr>
                <w:sz w:val="18"/>
              </w:rPr>
            </w:r>
            <w:r>
              <w:rPr>
                <w:sz w:val="18"/>
              </w:rPr>
              <w:t>SIN_CONTROL</w:t>
            </w:r>
          </w:p>
        </w:tc>
        <w:tc>
          <w:tcPr>
            <w:tcW w:type="dxa" w:w="4320"/>
          </w:tcPr>
          <w:p>
            <w:r>
              <w:rPr>
                <w:sz w:val="18"/>
              </w:rPr>
            </w:r>
            <w:r>
              <w:rPr>
                <w:sz w:val="18"/>
              </w:rPr>
              <w:t>Existe en el portal pero aún no tiene registro de traslado</w:t>
            </w:r>
          </w:p>
        </w:tc>
      </w:tr>
    </w:tbl>
    <w:p>
      <w:pPr>
        <w:spacing w:after="40"/>
      </w:pPr>
    </w:p>
    <w:p>
      <w:pPr>
        <w:pStyle w:val="Heading2"/>
      </w:pPr>
      <w:r>
        <w:t>8. Preguntas frecuentes</w:t>
      </w:r>
    </w:p>
    <w:p>
      <w:r>
        <w:rPr>
          <w:b/>
        </w:rPr>
        <w:t>¿Los archivos ya migrados se vuelven a procesar?</w:t>
      </w:r>
    </w:p>
    <w:p>
      <w:r>
        <w:t xml:space="preserve">No. Los COMPLETADO nunca se repiten. Un archivo nuevo con el mismo nombre se guarda con sufijo </w:t>
      </w:r>
      <w:r>
        <w:rPr>
          <w:rFonts w:ascii="Consolas" w:hAnsi="Consolas"/>
          <w:color w:val="C7254E"/>
          <w:sz w:val="19"/>
        </w:rPr>
        <w:t>_001</w:t>
      </w:r>
      <w:r>
        <w:t xml:space="preserve">, </w:t>
      </w:r>
      <w:r>
        <w:rPr>
          <w:rFonts w:ascii="Consolas" w:hAnsi="Consolas"/>
          <w:color w:val="C7254E"/>
          <w:sz w:val="19"/>
        </w:rPr>
        <w:t>_002</w:t>
      </w:r>
      <w:r>
        <w:t>, etc.; uno idéntico se omite.</w:t>
      </w:r>
    </w:p>
    <w:p>
      <w:r>
        <w:rPr>
          <w:b/>
        </w:rPr>
        <w:t>¿Qué pasa si el portal adjunta archivos a una orden ya migrada?</w:t>
      </w:r>
    </w:p>
    <w:p>
      <w:r>
        <w:t xml:space="preserve">Aparecen como pendientes y se copian a la misma carpeta de la orden en la siguiente corrida (cada 2 horas), o de inmediato con </w:t>
      </w:r>
      <w:r>
        <w:rPr>
          <w:i/>
        </w:rPr>
        <w:t>Ejecución personalizada</w:t>
      </w:r>
      <w:r>
        <w:t>.</w:t>
      </w:r>
    </w:p>
    <w:p>
      <w:r>
        <w:rPr>
          <w:b/>
        </w:rPr>
        <w:t>¿Puedo ejecutar en producción desde aquí?</w:t>
      </w:r>
    </w:p>
    <w:p>
      <w:r>
        <w:t xml:space="preserve">No. El dashboard solo permite ejecuciones en PRUEBA. Producción requiere aprobación formal y habilitación en base de datos (ver </w:t>
      </w:r>
      <w:r>
        <w:rPr>
          <w:rFonts w:ascii="Consolas" w:hAnsi="Consolas"/>
          <w:color w:val="C7254E"/>
          <w:sz w:val="19"/>
        </w:rPr>
        <w:t>03_PROCEDIMIENTO.md</w:t>
      </w:r>
      <w:r>
        <w:t>, sección 7).</w:t>
      </w:r>
    </w:p>
    <w:p>
      <w:r>
        <w:rPr>
          <w:b/>
        </w:rPr>
        <w:t>¿Qué hago con los archivos en ERROR?</w:t>
      </w:r>
    </w:p>
    <w:p>
      <w:r>
        <w:t xml:space="preserve">Filtre Estado = ERROR en </w:t>
      </w:r>
      <w:r>
        <w:rPr>
          <w:i/>
        </w:rPr>
        <w:t>Archivos</w:t>
      </w:r>
      <w:r>
        <w:t xml:space="preserve">, pulse </w:t>
      </w:r>
      <w:r>
        <w:rPr>
          <w:b/>
        </w:rPr>
        <w:t>Ver error</w:t>
      </w:r>
      <w:r>
        <w:t xml:space="preserve"> y revise la etapa. La mayoría se resuelven regularizando el dato en Spring (ej. falta </w:t>
      </w:r>
      <w:r>
        <w:rPr>
          <w:rFonts w:ascii="Consolas" w:hAnsi="Consolas"/>
          <w:color w:val="C7254E"/>
          <w:sz w:val="19"/>
        </w:rPr>
        <w:t>AP_Documentos</w:t>
      </w:r>
      <w:r>
        <w:t xml:space="preserve"> o </w:t>
      </w:r>
      <w:r>
        <w:rPr>
          <w:rFonts w:ascii="Consolas" w:hAnsi="Consolas"/>
          <w:color w:val="C7254E"/>
          <w:sz w:val="19"/>
        </w:rPr>
        <w:t>RutaArchivo</w:t>
      </w:r>
      <w:r>
        <w:t xml:space="preserve">); el reintento es automático. La tabla de causas por etapa está en </w:t>
      </w:r>
      <w:r>
        <w:rPr>
          <w:rFonts w:ascii="Consolas" w:hAnsi="Consolas"/>
          <w:color w:val="C7254E"/>
          <w:sz w:val="19"/>
        </w:rPr>
        <w:t>03_PROCEDIMIENTO.md</w:t>
      </w:r>
      <w:r>
        <w:t>, sección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