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Acta de inicio de proyecto</w:t>
      </w:r>
    </w:p>
    <w:p>
      <w:pPr>
        <w:jc w:val="center"/>
      </w:pPr>
      <w:r>
        <w:rPr>
          <w:color w:val="404040"/>
          <w:sz w:val="30"/>
        </w:rPr>
        <w:t>Migración de documentos a Spring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ACTA DE INICIO DE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Nombre del proyecto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Migración de adjuntos del portal de proveedores a Spring Gestión Documental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Código / referencia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servicio_documentos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14 de septiembre de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Elaborado por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Jonathan Marquina — Desarrollo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Aprobado por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[Nombre del jefe de proyecto / TI]</w:t>
            </w:r>
          </w:p>
        </w:tc>
      </w:tr>
    </w:tbl>
    <w:p>
      <w:pPr>
        <w:spacing w:after="40"/>
      </w:pPr>
    </w:p>
    <w:p>
      <w:pPr>
        <w:pStyle w:val="Heading2"/>
      </w:pPr>
      <w:r>
        <w:t>1. Antecedentes y justificación</w:t>
      </w:r>
    </w:p>
    <w:p>
      <w:r>
        <w:t>El portal de proveedores (</w:t>
      </w:r>
      <w:r>
        <w:rPr>
          <w:rFonts w:ascii="Consolas" w:hAnsi="Consolas"/>
          <w:color w:val="C7254E"/>
          <w:sz w:val="19"/>
        </w:rPr>
        <w:t>MS_HASS_PROVEEDOR</w:t>
      </w:r>
      <w:r>
        <w:t xml:space="preserve">, servidor 172.16.20.25) almacena documentos binarios adjuntados por los proveedores (facturas XML/PDF, CDR, guías, documentos de identidad y otros) en las tablas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y 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. Estos documentos deben residir en </w:t>
      </w:r>
      <w:r>
        <w:rPr>
          <w:b/>
        </w:rPr>
        <w:t>Spring Gestión Documental</w:t>
      </w:r>
      <w:r>
        <w:t xml:space="preserve"> (</w:t>
      </w:r>
      <w:r>
        <w:rPr>
          <w:rFonts w:ascii="Consolas" w:hAnsi="Consolas"/>
          <w:color w:val="C7254E"/>
          <w:sz w:val="19"/>
        </w:rPr>
        <w:t>GD_Grupo</w:t>
      </w:r>
      <w:r>
        <w:t xml:space="preserve"> / </w:t>
      </w:r>
      <w:r>
        <w:rPr>
          <w:rFonts w:ascii="Consolas" w:hAnsi="Consolas"/>
          <w:color w:val="C7254E"/>
          <w:sz w:val="19"/>
        </w:rPr>
        <w:t>GD_Archivo</w:t>
      </w:r>
      <w:r>
        <w:t>), bajo la jerarquía documental de expedientes de compras, para su consulta y gestión por las áreas usuarias.</w:t>
      </w:r>
    </w:p>
    <w:p>
      <w:r>
        <w:t xml:space="preserve">Se requiere un servicio automatizado que traslade los archivos, respete la estructura documental </w:t>
      </w:r>
      <w:r>
        <w:rPr>
          <w:rFonts w:ascii="Consolas" w:hAnsi="Consolas"/>
          <w:color w:val="C7254E"/>
          <w:sz w:val="19"/>
        </w:rPr>
        <w:t>Empresa &gt; Expediente Compras &gt; Orden Compra/Servicio &gt; Año &gt; Mes &gt; Número de orden</w:t>
      </w:r>
      <w:r>
        <w:t>, mantenga trazabilidad de cada traslado y permita monitoreo y reintentos.</w:t>
      </w:r>
    </w:p>
    <w:p>
      <w:pPr>
        <w:pStyle w:val="Heading2"/>
      </w:pPr>
      <w:r>
        <w:t>2. Objetivo</w:t>
      </w:r>
    </w:p>
    <w:p>
      <w:r>
        <w:t>Migrar los documentos del portal de proveedores hacia Spring Gestión Documental conservando la relación con la obligación (factura), orden de compra/servicio, proveedor, empresa, grupo documental y ruta física, con control de errores por etapa y capacidad de reintento.</w:t>
      </w:r>
    </w:p>
    <w:p>
      <w:pPr>
        <w:pStyle w:val="Heading3"/>
      </w:pPr>
      <w:r>
        <w:t>Objetivos específicos</w:t>
      </w:r>
    </w:p>
    <w:p>
      <w:pPr>
        <w:pStyle w:val="ListNumber"/>
      </w:pPr>
      <w:r>
        <w:t>Servicio de migración ejecutable por tarea programada (cada 2 horas) y por demanda.</w:t>
      </w:r>
    </w:p>
    <w:p>
      <w:pPr>
        <w:pStyle w:val="ListNumber"/>
      </w:pPr>
      <w:r>
        <w:t>Copia física del archivo al recurso compartido de Spring (</w:t>
      </w:r>
      <w:r>
        <w:rPr>
          <w:rFonts w:ascii="Consolas" w:hAnsi="Consolas"/>
          <w:color w:val="C7254E"/>
          <w:sz w:val="19"/>
        </w:rPr>
        <w:t>\\172.16.20.24\SpringGestionDoc</w:t>
      </w:r>
      <w:r>
        <w:t xml:space="preserve">) y registro de metadata en </w:t>
      </w:r>
      <w:r>
        <w:rPr>
          <w:rFonts w:ascii="Consolas" w:hAnsi="Consolas"/>
          <w:color w:val="C7254E"/>
          <w:sz w:val="19"/>
        </w:rPr>
        <w:t>GD_Archivo</w:t>
      </w:r>
      <w:r>
        <w:t>/</w:t>
      </w:r>
      <w:r>
        <w:rPr>
          <w:rFonts w:ascii="Consolas" w:hAnsi="Consolas"/>
          <w:color w:val="C7254E"/>
          <w:sz w:val="19"/>
        </w:rPr>
        <w:t>GD_Grupo</w:t>
      </w:r>
      <w:r>
        <w:t>.</w:t>
      </w:r>
    </w:p>
    <w:p>
      <w:pPr>
        <w:pStyle w:val="ListNumber"/>
      </w:pPr>
      <w:r>
        <w:t>Tabla de control por archivo (estado, intentos, etapa, mensaje de error, ruta destino).</w:t>
      </w:r>
    </w:p>
    <w:p>
      <w:pPr>
        <w:pStyle w:val="ListNumber"/>
      </w:pPr>
      <w:r>
        <w:t>Dashboard web para monitoreo, ejecución manual, ejecución por orden y configuración.</w:t>
      </w:r>
    </w:p>
    <w:p>
      <w:pPr>
        <w:pStyle w:val="ListNumber"/>
      </w:pPr>
      <w:r>
        <w:t>Seguridad: producción bloqueada hasta aprobación formal; credenciales fuera del código.</w:t>
      </w:r>
    </w:p>
    <w:p>
      <w:pPr>
        <w:pStyle w:val="Heading2"/>
      </w:pPr>
      <w:r>
        <w:t>3. Alcance</w:t>
      </w:r>
    </w:p>
    <w:p>
      <w:pPr>
        <w:pStyle w:val="Heading3"/>
      </w:pPr>
      <w:r>
        <w:t>Incluye</w:t>
      </w:r>
    </w:p>
    <w:p>
      <w:pPr>
        <w:pStyle w:val="ListBullet"/>
      </w:pPr>
      <w:r>
        <w:t>Servicio migrador en Python compilado a ejecutable (</w:t>
      </w:r>
      <w:r>
        <w:rPr>
          <w:rFonts w:ascii="Consolas" w:hAnsi="Consolas"/>
          <w:color w:val="C7254E"/>
          <w:sz w:val="19"/>
        </w:rPr>
        <w:t>migrar_prueba.exe</w:t>
      </w:r>
      <w:r>
        <w:t xml:space="preserve">, </w:t>
      </w:r>
      <w:r>
        <w:rPr>
          <w:rFonts w:ascii="Consolas" w:hAnsi="Consolas"/>
          <w:color w:val="C7254E"/>
          <w:sz w:val="19"/>
        </w:rPr>
        <w:t>migrar_produccion.exe</w:t>
      </w:r>
      <w:r>
        <w:t>).</w:t>
      </w:r>
    </w:p>
    <w:p>
      <w:pPr>
        <w:pStyle w:val="ListBullet"/>
      </w:pPr>
      <w:r>
        <w:t>Modos de operación: PRUEBA (SIMULACION/ESCRITURA, copia LOCAL/COMPARTIDA) y PRODUCCION (bloqueada por defecto).</w:t>
      </w:r>
    </w:p>
    <w:p>
      <w:pPr>
        <w:pStyle w:val="ListBullet"/>
      </w:pPr>
      <w:r>
        <w:t xml:space="preserve">Dashboard web: inicialmente Flask; evolucionado a </w:t>
      </w:r>
      <w:r>
        <w:rPr>
          <w:b/>
        </w:rPr>
        <w:t>API .NET 8 + Angular 20</w:t>
      </w:r>
      <w:r>
        <w:t xml:space="preserve"> desplegado en IIS (</w:t>
      </w:r>
      <w:r>
        <w:rPr>
          <w:rFonts w:ascii="Consolas" w:hAnsi="Consolas"/>
          <w:color w:val="C7254E"/>
          <w:sz w:val="19"/>
        </w:rPr>
        <w:t>apimigraciondoc.agroapps.net:7631</w:t>
      </w:r>
      <w:r>
        <w:t>).</w:t>
      </w:r>
    </w:p>
    <w:p>
      <w:pPr>
        <w:pStyle w:val="ListBullet"/>
      </w:pPr>
      <w:r>
        <w:t xml:space="preserve">Stored procedures </w:t>
      </w:r>
      <w:r>
        <w:rPr>
          <w:rFonts w:ascii="Consolas" w:hAnsi="Consolas"/>
          <w:color w:val="C7254E"/>
          <w:sz w:val="19"/>
        </w:rPr>
        <w:t>sp_mig_*</w:t>
      </w:r>
      <w:r>
        <w:t xml:space="preserve"> para el acceso a datos del dashboard.</w:t>
      </w:r>
    </w:p>
    <w:p>
      <w:pPr>
        <w:pStyle w:val="ListBullet"/>
      </w:pPr>
      <w:r>
        <w:t>Documentación técnica, de operación, de usuario y de gestión del proyecto.</w:t>
      </w:r>
    </w:p>
    <w:p>
      <w:pPr>
        <w:pStyle w:val="Heading3"/>
      </w:pPr>
      <w:r>
        <w:t>No incluye</w:t>
      </w:r>
    </w:p>
    <w:p>
      <w:pPr>
        <w:pStyle w:val="ListBullet"/>
      </w:pPr>
      <w:r>
        <w:t>Cambios en el portal de proveedores ni en Spring (solo lectura/inserción sobre tablas existentes).</w:t>
      </w:r>
    </w:p>
    <w:p>
      <w:pPr>
        <w:pStyle w:val="ListBullet"/>
      </w:pPr>
      <w:r>
        <w:t>Migración de históricos no relacionados a obligaciones/órdenes.</w:t>
      </w:r>
    </w:p>
    <w:p>
      <w:pPr>
        <w:pStyle w:val="ListBullet"/>
      </w:pPr>
      <w:r>
        <w:t>Habilitación productiva (requiere aprobación separada, ver acta de cierre).</w:t>
      </w:r>
    </w:p>
    <w:p>
      <w:pPr>
        <w:pStyle w:val="Heading2"/>
      </w:pPr>
      <w:r>
        <w:t>4.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Criterio de aceptación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 migrador ejecutable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Copia íntegra, registra control, reintenta errores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Tablas de control y configuración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MS_ArchivoTraslado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MS_AP_DocumentoArchivoTraslado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Config_Activo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Auditoria_Cambio_Entorno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web operativo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Stats, archivos, preview, ejecución, configuración,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API REST + SPs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Endpoints documentados, fallback de consultas, Swagger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Despliegue en servidor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Tarea programada cada 2 h + sitio IIS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Documentación completa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Técnica, flujo, usuario (con imágenes), gestión</w:t>
            </w:r>
          </w:p>
        </w:tc>
      </w:tr>
    </w:tbl>
    <w:p>
      <w:pPr>
        <w:spacing w:after="40"/>
      </w:pPr>
    </w:p>
    <w:p>
      <w:pPr>
        <w:pStyle w:val="Heading2"/>
      </w:pPr>
      <w:r>
        <w:t>5. Recursos y prerrequisitos</w:t>
      </w:r>
    </w:p>
    <w:p>
      <w:pPr>
        <w:pStyle w:val="ListBullet"/>
      </w:pPr>
      <w:r>
        <w:t xml:space="preserve">Usuario SQL </w:t>
      </w:r>
      <w:r>
        <w:rPr>
          <w:rFonts w:ascii="Consolas" w:hAnsi="Consolas"/>
          <w:color w:val="C7254E"/>
          <w:sz w:val="19"/>
        </w:rPr>
        <w:t>usr_migracion_adjuntos</w:t>
      </w:r>
      <w:r>
        <w:t xml:space="preserve"> con permisos acotados (SELECT en fuentes, INSERT/UPDATE en control, SELECT/INSERT en </w:t>
      </w:r>
      <w:r>
        <w:rPr>
          <w:rFonts w:ascii="Consolas" w:hAnsi="Consolas"/>
          <w:color w:val="C7254E"/>
          <w:sz w:val="19"/>
        </w:rPr>
        <w:t>GD_Grupo</w:t>
      </w:r>
      <w:r>
        <w:t>/</w:t>
      </w:r>
      <w:r>
        <w:rPr>
          <w:rFonts w:ascii="Consolas" w:hAnsi="Consolas"/>
          <w:color w:val="C7254E"/>
          <w:sz w:val="19"/>
        </w:rPr>
        <w:t>GD_Archivo</w:t>
      </w:r>
      <w:r>
        <w:t>).</w:t>
      </w:r>
    </w:p>
    <w:p>
      <w:pPr>
        <w:pStyle w:val="ListBullet"/>
      </w:pPr>
      <w:r>
        <w:t xml:space="preserve">Variable de entorno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en la cuenta ejecutora (nunca en archivos).</w:t>
      </w:r>
    </w:p>
    <w:p>
      <w:pPr>
        <w:pStyle w:val="ListBullet"/>
      </w:pPr>
      <w:r>
        <w:t>Permisos de red de la cuenta Windows sobre el recurso compartido de Spring.</w:t>
      </w:r>
    </w:p>
    <w:p>
      <w:pPr>
        <w:pStyle w:val="ListBullet"/>
      </w:pPr>
      <w:r>
        <w:t>ODBC Driver 17 for SQL Server; .NET 8 Hosting Bundle; Node/Python solo en desarrollo.</w:t>
      </w:r>
    </w:p>
    <w:p>
      <w:pPr>
        <w:pStyle w:val="Heading2"/>
      </w:pPr>
      <w:r>
        <w:t>6. Riesgos iniciales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Riesgo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Mitigación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Escritura accidental en producción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Doble bloqueo (</w:t>
            </w:r>
            <w:r>
              <w:rPr>
                <w:rFonts w:ascii="Consolas" w:hAnsi="Consolas"/>
                <w:color w:val="C7254E"/>
                <w:sz w:val="19"/>
              </w:rPr>
              <w:t>HABILITAR_PRODUCCION</w:t>
            </w:r>
            <w:r>
              <w:rPr>
                <w:sz w:val="18"/>
              </w:rPr>
              <w:t xml:space="preserve"> + validaciones de base/raíz exactas en el iniciador)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Datos incompletos en </w:t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  <w:r>
              <w:rPr>
                <w:sz w:val="18"/>
              </w:rPr>
              <w:t xml:space="preserve"> (sin </w:t>
            </w:r>
            <w:r>
              <w:rPr>
                <w:rFonts w:ascii="Consolas" w:hAnsi="Consolas"/>
                <w:color w:val="C7254E"/>
                <w:sz w:val="19"/>
              </w:rPr>
              <w:t>RutaArchivo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Construcción de ruta dinámica con plantilla por compañía; error con etapa y reintento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Duplicados en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Validación por </w:t>
            </w:r>
            <w:r>
              <w:rPr>
                <w:rFonts w:ascii="Consolas" w:hAnsi="Consolas"/>
                <w:color w:val="C7254E"/>
                <w:sz w:val="19"/>
              </w:rPr>
              <w:t>(IdGrupo, RutaArchivo)</w:t>
            </w:r>
            <w:r>
              <w:rPr>
                <w:sz w:val="18"/>
              </w:rPr>
              <w:t xml:space="preserve"> antes de insertar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Pérdida de trazabilidad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Tabla de control por archivo + log por etapa + auditoría de entorno</w:t>
            </w:r>
          </w:p>
        </w:tc>
      </w:tr>
    </w:tbl>
    <w:p>
      <w:pPr>
        <w:spacing w:after="40"/>
      </w:pPr>
    </w:p>
    <w:p>
      <w:pPr>
        <w:pStyle w:val="Heading2"/>
      </w:pPr>
      <w:r>
        <w:t>7. Duración estimada</w:t>
      </w:r>
    </w:p>
    <w:p>
      <w:r>
        <w:t xml:space="preserve">Una semana de desarrollo (14–21/09/2026), detalle en </w:t>
      </w:r>
      <w:r>
        <w:rPr>
          <w:rFonts w:ascii="Consolas" w:hAnsi="Consolas"/>
          <w:color w:val="C7254E"/>
          <w:sz w:val="19"/>
        </w:rPr>
        <w:t>10_CRONOGRAMA_GANTT.md</w:t>
      </w:r>
      <w:r>
        <w:t>.</w:t>
      </w:r>
    </w:p>
    <w:p>
      <w:pPr>
        <w:pStyle w:val="Heading2"/>
      </w:pPr>
      <w:r>
        <w:t>8. 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Firma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Responsable del proyecto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[Nombre]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14/09/2026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Desarrollador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Jonathan Marquina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14/09/2026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 funcional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[Nombre]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14/09/2026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