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Acta de cierre de proyecto</w:t>
      </w:r>
    </w:p>
    <w:p>
      <w:pPr>
        <w:jc w:val="center"/>
      </w:pPr>
      <w:r>
        <w:rPr>
          <w:color w:val="404040"/>
          <w:sz w:val="30"/>
        </w:rPr>
        <w:t>Migración de documentos a Spring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ACTA DE CIERRE DE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Nombre del proyecto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Migración de adjuntos del portal de proveedores a Spring Gestión Documental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Código / referencia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servicio_documentos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 de septiembre de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Fecha de cierre (desarrollo)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21 de septiembre de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Duración 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 días calendario / 6 días hábiles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Elaborado por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Jonathan Marquina — Desarrollo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Aprobado por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[Nombre del jefe de proyecto / TI]</w:t>
            </w:r>
          </w:p>
        </w:tc>
      </w:tr>
    </w:tbl>
    <w:p>
      <w:pPr>
        <w:spacing w:after="40"/>
      </w:pPr>
    </w:p>
    <w:p>
      <w:r>
        <w:t xml:space="preserve">&gt; </w:t>
      </w:r>
      <w:r>
        <w:rPr>
          <w:b/>
        </w:rPr>
        <w:t>Nota de alcance del cierre:</w:t>
      </w:r>
      <w:r>
        <w:t xml:space="preserve"> este acta cierra la </w:t>
      </w:r>
      <w:r>
        <w:rPr>
          <w:b/>
        </w:rPr>
        <w:t>fase de construcción e implementación en modo PRUEBA</w:t>
      </w:r>
      <w:r>
        <w:t>. La habilitación productiva queda como actividad posterior condicionada a la aprobación formal (ver sección 6).</w:t>
      </w:r>
    </w:p>
    <w:p>
      <w:pPr>
        <w:pStyle w:val="Heading2"/>
      </w:pPr>
      <w:r>
        <w:t>1. Resumen de ejecución</w:t>
      </w:r>
    </w:p>
    <w:p>
      <w:r>
        <w:t>El proyecto se ejecutó en el periodo planificado. Se entregó el servicio migrador completo, el dashboard web de monitoreo (evolucionado de Flask a Angular + API .NET 8 durante el proyecto), el despliegue en el servidor con tarea programada y el paquete documental completo.</w:t>
      </w:r>
    </w:p>
    <w:p>
      <w:pPr>
        <w:pStyle w:val="Heading3"/>
      </w:pPr>
      <w:r>
        <w:t>Avance real medido (al 21/09/2026)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Archivos AP totales (</w:t>
            </w:r>
            <w:r>
              <w:rPr>
                <w:rFonts w:ascii="Consolas" w:hAnsi="Consolas"/>
                <w:color w:val="C7254E"/>
                <w:sz w:val="19"/>
              </w:rPr>
              <w:t>MS_AP_DocumentoArchivo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117,626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 completados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13,512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 pendientes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104,114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 en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Adjuntos </w:t>
            </w:r>
            <w:r>
              <w:rPr>
                <w:rFonts w:ascii="Consolas" w:hAnsi="Consolas"/>
                <w:color w:val="C7254E"/>
                <w:sz w:val="19"/>
              </w:rPr>
              <w:t>MS_Archivo</w:t>
            </w:r>
            <w:r>
              <w:rPr>
                <w:sz w:val="18"/>
              </w:rPr>
              <w:t xml:space="preserve"> totales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2,207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MS completados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Registros en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  <w:r>
              <w:rPr>
                <w:sz w:val="18"/>
              </w:rPr>
              <w:t xml:space="preserve"> (base de pruebas)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Ejecución programada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cada 2 horas, operativa</w:t>
            </w:r>
          </w:p>
        </w:tc>
      </w:tr>
    </w:tbl>
    <w:p>
      <w:pPr>
        <w:spacing w:after="40"/>
      </w:pPr>
    </w:p>
    <w:p>
      <w:pPr>
        <w:pStyle w:val="Heading2"/>
      </w:pPr>
      <w:r>
        <w:t>2. Entregables — conformidad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migrador ejecutable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Conforme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migrar_prueba.exe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migrar_produccion.exe</w:t>
            </w:r>
            <w:r>
              <w:rPr>
                <w:sz w:val="18"/>
              </w:rPr>
              <w:t xml:space="preserve"> compilados con PyInstaller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Tablas de control y configuración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Conforme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 por estado/etapa/intentos; entornos y auditoría en </w:t>
            </w:r>
            <w:r>
              <w:rPr>
                <w:rFonts w:ascii="Consolas" w:hAnsi="Consolas"/>
                <w:color w:val="C7254E"/>
                <w:sz w:val="19"/>
              </w:rPr>
              <w:t>MS_HASS_PROVEEDOR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web operativo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Conforme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Angular 20 + API .NET 8 en IIS; dashboard Flask conservado como respaldo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API REST + SPs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Conforme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13 SPs en </w:t>
            </w:r>
            <w:r>
              <w:rPr>
                <w:rFonts w:ascii="Consolas" w:hAnsi="Consolas"/>
                <w:color w:val="C7254E"/>
                <w:sz w:val="19"/>
              </w:rPr>
              <w:t>MS_HASS_PROVEEDOR</w:t>
            </w:r>
            <w:r>
              <w:rPr>
                <w:sz w:val="18"/>
              </w:rPr>
              <w:t xml:space="preserve"> desplegados; SPs de Spring funcionan con fallback hasta que el DBA los despliegue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Despliegue en servidor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Conforme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Tarea </w:t>
            </w:r>
            <w:r>
              <w:rPr>
                <w:rFonts w:ascii="Consolas" w:hAnsi="Consolas"/>
                <w:color w:val="C7254E"/>
                <w:sz w:val="19"/>
              </w:rPr>
              <w:t>MigrarAdjuntosPortalProveedores</w:t>
            </w:r>
            <w:r>
              <w:rPr>
                <w:sz w:val="18"/>
              </w:rPr>
              <w:t xml:space="preserve"> cada 2 h; API en </w:t>
            </w:r>
            <w:r>
              <w:rPr>
                <w:rFonts w:ascii="Consolas" w:hAnsi="Consolas"/>
                <w:color w:val="C7254E"/>
                <w:sz w:val="19"/>
              </w:rPr>
              <w:t>apimigraciondoc.agroapps.net:7631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Documentación completa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Conforme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Carpeta </w:t>
            </w:r>
            <w:r>
              <w:rPr>
                <w:rFonts w:ascii="Consolas" w:hAnsi="Consolas"/>
                <w:color w:val="C7254E"/>
                <w:sz w:val="19"/>
              </w:rPr>
              <w:t>docs/</w:t>
            </w:r>
            <w:r>
              <w:rPr>
                <w:sz w:val="18"/>
              </w:rPr>
              <w:t xml:space="preserve"> con 12 documentos + manual ilustrado</w:t>
            </w:r>
          </w:p>
        </w:tc>
      </w:tr>
    </w:tbl>
    <w:p>
      <w:pPr>
        <w:spacing w:after="40"/>
      </w:pPr>
    </w:p>
    <w:p>
      <w:pPr>
        <w:pStyle w:val="Heading2"/>
      </w:pPr>
      <w:r>
        <w:t>3. Verificación de criterios de aceptación</w:t>
      </w:r>
    </w:p>
    <w:p>
      <w:pPr>
        <w:pStyle w:val="ListBullet"/>
      </w:pPr>
      <w:r>
        <w:t xml:space="preserve">[x] Resolución obligación → OC/OS vía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(incluye filtro por orden).</w:t>
      </w:r>
    </w:p>
    <w:p>
      <w:pPr>
        <w:pStyle w:val="ListBullet"/>
      </w:pPr>
      <w:r>
        <w:t xml:space="preserve">[x] Jerarquía </w:t>
      </w:r>
      <w:r>
        <w:rPr>
          <w:rFonts w:ascii="Consolas" w:hAnsi="Consolas"/>
          <w:color w:val="C7254E"/>
          <w:sz w:val="19"/>
        </w:rPr>
        <w:t>GD_Grupo</w:t>
      </w:r>
      <w:r>
        <w:t xml:space="preserve"> de 6 niveles reutilizada o creada; empresa tomada de la ruta real (no fija).</w:t>
      </w:r>
    </w:p>
    <w:p>
      <w:pPr>
        <w:pStyle w:val="ListBullet"/>
      </w:pPr>
      <w:r>
        <w:t xml:space="preserve">[x] Copia física íntegra con verificación de tamaño; idénticos omitidos; colisión de nombre → sufijo </w:t>
      </w:r>
      <w:r>
        <w:rPr>
          <w:rFonts w:ascii="Consolas" w:hAnsi="Consolas"/>
          <w:color w:val="C7254E"/>
          <w:sz w:val="19"/>
        </w:rPr>
        <w:t>_NNN</w:t>
      </w:r>
      <w:r>
        <w:t>.</w:t>
      </w:r>
    </w:p>
    <w:p>
      <w:pPr>
        <w:pStyle w:val="ListBullet"/>
      </w:pPr>
      <w:r>
        <w:t xml:space="preserve">[x] Duplicados detectados por </w:t>
      </w:r>
      <w:r>
        <w:rPr>
          <w:rFonts w:ascii="Consolas" w:hAnsi="Consolas"/>
          <w:color w:val="C7254E"/>
          <w:sz w:val="19"/>
        </w:rPr>
        <w:t>(IdGrupo, RutaArchivo)</w:t>
      </w:r>
      <w:r>
        <w:t>.</w:t>
      </w:r>
    </w:p>
    <w:p>
      <w:pPr>
        <w:pStyle w:val="ListBullet"/>
      </w:pPr>
      <w:r>
        <w:t>[x] Reintentos automáticos por estado ERROR con etapa y mensaje.</w:t>
      </w:r>
    </w:p>
    <w:p>
      <w:pPr>
        <w:pStyle w:val="ListBullet"/>
      </w:pPr>
      <w:r>
        <w:t xml:space="preserve">[x] Producción protegida: </w:t>
      </w:r>
      <w:r>
        <w:rPr>
          <w:rFonts w:ascii="Consolas" w:hAnsi="Consolas"/>
          <w:color w:val="C7254E"/>
          <w:sz w:val="19"/>
        </w:rPr>
        <w:t>HABILITAR_PRODUCCION</w:t>
      </w:r>
      <w:r>
        <w:t>, validación de base/raíz exacta, dashboard limitado a PRUEBA.</w:t>
      </w:r>
    </w:p>
    <w:p>
      <w:pPr>
        <w:pStyle w:val="ListBullet"/>
      </w:pPr>
      <w:r>
        <w:t>[x] Credenciales fuera del código (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por variable de entorno).</w:t>
      </w:r>
    </w:p>
    <w:p>
      <w:pPr>
        <w:pStyle w:val="Heading2"/>
      </w:pPr>
      <w:r>
        <w:t>4. Desviaciones durante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Desviación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Resolución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El dashboard inicial (Flask + JS vanilla) se migró a Angular + .NET para homologar con la arquitectura corporativa (referencia </w:t>
            </w:r>
            <w:r>
              <w:rPr>
                <w:rFonts w:ascii="Consolas" w:hAnsi="Consolas"/>
                <w:color w:val="C7254E"/>
                <w:sz w:val="19"/>
              </w:rPr>
              <w:t>alquiler_maquinaria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 planificó y ejecutó dentro del mismo periodo (docs/06)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migrar_adjuntos_spring.py</w:t>
            </w:r>
            <w:r>
              <w:rPr>
                <w:sz w:val="18"/>
              </w:rPr>
              <w:t xml:space="preserve"> (versión producción) no quedó alineado con la tabla de 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 mantiene producción bloqueada; ítem pendiente (sección 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SPs de Spring sin permisos de ejecución para el usuario del servicio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 API opera con fallback de consultas en línea hasta su despliegue</w:t>
            </w:r>
          </w:p>
        </w:tc>
      </w:tr>
    </w:tbl>
    <w:p>
      <w:pPr>
        <w:spacing w:after="40"/>
      </w:pPr>
    </w:p>
    <w:p>
      <w:pPr>
        <w:pStyle w:val="Heading2"/>
      </w:pPr>
      <w:r>
        <w:t>5. Lecciones aprendidas</w:t>
      </w:r>
    </w:p>
    <w:p>
      <w:pPr>
        <w:pStyle w:val="ListBullet"/>
      </w:pPr>
      <w:r>
        <w:t>Separar la configuración de prueba (</w:t>
      </w:r>
      <w:r>
        <w:rPr>
          <w:rFonts w:ascii="Consolas" w:hAnsi="Consolas"/>
          <w:color w:val="C7254E"/>
          <w:sz w:val="19"/>
        </w:rPr>
        <w:t>config_modo.bat</w:t>
      </w:r>
      <w:r>
        <w:t>) y producción (</w:t>
      </w:r>
      <w:r>
        <w:rPr>
          <w:rFonts w:ascii="Consolas" w:hAnsi="Consolas"/>
          <w:color w:val="C7254E"/>
          <w:sz w:val="19"/>
        </w:rPr>
        <w:t>config.env</w:t>
      </w:r>
      <w:r>
        <w:t>) con validaciones exactas en el iniciador evita errores de entorno de forma efectiva.</w:t>
      </w:r>
    </w:p>
    <w:p>
      <w:pPr>
        <w:pStyle w:val="ListBullet"/>
      </w:pPr>
      <w:r>
        <w:t>El log por etapas (</w:t>
      </w:r>
      <w:r>
        <w:rPr>
          <w:rFonts w:ascii="Consolas" w:hAnsi="Consolas"/>
          <w:color w:val="C7254E"/>
          <w:sz w:val="19"/>
        </w:rPr>
        <w:t>[PRUEBA][ETAPA]</w:t>
      </w:r>
      <w:r>
        <w:t>) resultó clave para diagnosticar fallos sin depurar el código.</w:t>
      </w:r>
    </w:p>
    <w:p>
      <w:pPr>
        <w:pStyle w:val="ListBullet"/>
      </w:pPr>
      <w:r>
        <w:t>La tabla de control con reintento automático reduce la operación manual a revisar la causa raíz.</w:t>
      </w:r>
    </w:p>
    <w:p>
      <w:pPr>
        <w:pStyle w:val="Heading2"/>
      </w:pPr>
      <w:r>
        <w:t>6. Actividades y pendientes posteriores al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Condición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Definir </w:t>
            </w:r>
            <w:r>
              <w:rPr>
                <w:rFonts w:ascii="Consolas" w:hAnsi="Consolas"/>
                <w:color w:val="C7254E"/>
                <w:sz w:val="19"/>
              </w:rPr>
              <w:t>ValorTexto1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C7254E"/>
                <w:sz w:val="19"/>
              </w:rPr>
              <w:t>Descripcion</w:t>
            </w:r>
            <w:r>
              <w:rPr>
                <w:sz w:val="18"/>
              </w:rPr>
              <w:t xml:space="preserve"> finales de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  <w:r>
              <w:rPr>
                <w:sz w:val="18"/>
              </w:rPr>
              <w:t xml:space="preserve"> para adjuntos manuales (hoy </w:t>
            </w:r>
            <w:r>
              <w:rPr>
                <w:rFonts w:ascii="Consolas" w:hAnsi="Consolas"/>
                <w:color w:val="C7254E"/>
                <w:sz w:val="19"/>
              </w:rPr>
              <w:t>PENDIENTE_DEFINIR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MIGRACION_PRUEBA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 funcional + Desarrollo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Antes del pase a 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Alinear </w:t>
            </w:r>
            <w:r>
              <w:rPr>
                <w:rFonts w:ascii="Consolas" w:hAnsi="Consolas"/>
                <w:color w:val="C7254E"/>
                <w:sz w:val="19"/>
              </w:rPr>
              <w:t>migrar_adjuntos_spring.py</w:t>
            </w:r>
            <w:r>
              <w:rPr>
                <w:sz w:val="18"/>
              </w:rPr>
              <w:t xml:space="preserve"> (producción) con la tabla de control y campos reales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Desarrollo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Antes del pase a 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Desplegar </w:t>
            </w:r>
            <w:r>
              <w:rPr>
                <w:rFonts w:ascii="Consolas" w:hAnsi="Consolas"/>
                <w:color w:val="C7254E"/>
                <w:sz w:val="19"/>
              </w:rPr>
              <w:t>Scripts/02_sp_spring.sql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C7254E"/>
                <w:sz w:val="19"/>
              </w:rPr>
              <w:t>HASS_SPRING_PRUEBA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C7254E"/>
                <w:sz w:val="19"/>
              </w:rPr>
              <w:t>HP_SPRING_PRD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C7254E"/>
                <w:sz w:val="19"/>
              </w:rPr>
              <w:t>GRANT EXECUTE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Mejora de rendimiento (API ya funciona con fallback)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Aprobación formal y habilitación de producción (</w:t>
            </w:r>
            <w:r>
              <w:rPr>
                <w:rFonts w:ascii="Consolas" w:hAnsi="Consolas"/>
                <w:color w:val="C7254E"/>
                <w:sz w:val="19"/>
              </w:rPr>
              <w:t>ProduccionHabilitado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HABILITAR_PRODUCCION=SI_PRODUCCION</w:t>
            </w:r>
            <w:r>
              <w:rPr>
                <w:sz w:val="18"/>
              </w:rPr>
              <w:t>, cambio de tarea)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Responsable + 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Tras completar los ítems anteriores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Volumen restante de migración (~104k AP pendientes)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Automático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 procesa por corridas de la tarea programada</w:t>
            </w:r>
          </w:p>
        </w:tc>
      </w:tr>
    </w:tbl>
    <w:p>
      <w:pPr>
        <w:spacing w:after="40"/>
      </w:pPr>
    </w:p>
    <w:p>
      <w:pPr>
        <w:pStyle w:val="Heading2"/>
      </w:pPr>
      <w:r>
        <w:t>7. Conformidad y cierre</w:t>
      </w:r>
    </w:p>
    <w:p>
      <w:r>
        <w:t>Se deja constancia de que los entregables comprometidos fueron completados y el sistema opera en modo PRUEBA con monitoreo web, quedando la habilitación productiva condicionada a la aprobación formal.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Firma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Responsable del proyecto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[Nombre]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21/09/2026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Desarrollador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Jonathan Marquina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21/09/2026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 funcional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[Nombre]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21/09/2026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